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A2475" w14:textId="77777777" w:rsidR="00D23863" w:rsidRPr="00E847A6" w:rsidRDefault="00D23863" w:rsidP="00D23863">
      <w:pPr>
        <w:pStyle w:val="DefaultText"/>
        <w:rPr>
          <w:rFonts w:ascii="Arial" w:hAnsi="Arial" w:cs="Arial"/>
          <w:i/>
          <w:sz w:val="22"/>
        </w:rPr>
      </w:pPr>
      <w:r w:rsidRPr="00E847A6">
        <w:rPr>
          <w:rFonts w:ascii="Arial" w:hAnsi="Arial" w:cs="Arial"/>
          <w:i/>
          <w:sz w:val="22"/>
        </w:rPr>
        <w:t>PLEASE READ!!</w:t>
      </w:r>
    </w:p>
    <w:p w14:paraId="0CA57EF7" w14:textId="77777777" w:rsidR="00D23863" w:rsidRPr="00AD69B8" w:rsidRDefault="00D23863" w:rsidP="00D23863">
      <w:pPr>
        <w:pStyle w:val="DefaultText"/>
        <w:rPr>
          <w:rFonts w:ascii="Arial" w:hAnsi="Arial" w:cs="Arial"/>
          <w:sz w:val="22"/>
        </w:rPr>
      </w:pPr>
    </w:p>
    <w:p w14:paraId="440470C5" w14:textId="77777777" w:rsidR="00D23863" w:rsidRPr="00AD69B8" w:rsidRDefault="00D23863" w:rsidP="00D23863">
      <w:pPr>
        <w:pStyle w:val="DefaultText"/>
        <w:rPr>
          <w:rFonts w:ascii="Arial" w:hAnsi="Arial" w:cs="Arial"/>
          <w:sz w:val="22"/>
        </w:rPr>
      </w:pPr>
    </w:p>
    <w:p w14:paraId="79670164" w14:textId="77777777" w:rsidR="00D23863" w:rsidRPr="00AD69B8" w:rsidRDefault="00D23863" w:rsidP="00D23863">
      <w:pPr>
        <w:pStyle w:val="DefaultText"/>
        <w:rPr>
          <w:rFonts w:ascii="Arial" w:hAnsi="Arial" w:cs="Arial"/>
          <w:sz w:val="22"/>
        </w:rPr>
      </w:pPr>
    </w:p>
    <w:p w14:paraId="7FAD52A2" w14:textId="77777777" w:rsidR="00D23863" w:rsidRPr="00817BDC" w:rsidRDefault="00D23863" w:rsidP="00D23863">
      <w:pPr>
        <w:pStyle w:val="DefaultText"/>
        <w:rPr>
          <w:rFonts w:ascii="Arial" w:hAnsi="Arial" w:cs="Arial"/>
          <w:b/>
          <w:sz w:val="22"/>
        </w:rPr>
      </w:pPr>
      <w:r w:rsidRPr="00817BDC">
        <w:rPr>
          <w:rFonts w:ascii="Arial" w:hAnsi="Arial" w:cs="Arial"/>
          <w:b/>
          <w:sz w:val="22"/>
        </w:rPr>
        <w:t>HELENA LABORATORIES</w:t>
      </w:r>
    </w:p>
    <w:p w14:paraId="3748140D" w14:textId="77777777" w:rsidR="00D23863" w:rsidRPr="00817BDC" w:rsidRDefault="00D23863" w:rsidP="00D23863">
      <w:pPr>
        <w:pStyle w:val="DefaultText"/>
        <w:rPr>
          <w:rFonts w:ascii="Arial" w:hAnsi="Arial" w:cs="Arial"/>
          <w:b/>
          <w:sz w:val="22"/>
        </w:rPr>
      </w:pPr>
      <w:r w:rsidRPr="00817BDC">
        <w:rPr>
          <w:rFonts w:ascii="Arial" w:hAnsi="Arial" w:cs="Arial"/>
          <w:b/>
          <w:sz w:val="22"/>
        </w:rPr>
        <w:t>PROCEDURE DOWNLOAD END USER AGREEMENT</w:t>
      </w:r>
    </w:p>
    <w:p w14:paraId="633612A8" w14:textId="77777777" w:rsidR="00D23863" w:rsidRPr="00AD69B8" w:rsidRDefault="00D23863" w:rsidP="00D23863">
      <w:pPr>
        <w:pStyle w:val="DefaultText"/>
        <w:rPr>
          <w:rFonts w:ascii="Arial" w:hAnsi="Arial" w:cs="Arial"/>
          <w:sz w:val="22"/>
        </w:rPr>
      </w:pPr>
    </w:p>
    <w:p w14:paraId="2C76B25D" w14:textId="77777777" w:rsidR="00D23863" w:rsidRPr="00AD69B8" w:rsidRDefault="00D23863" w:rsidP="00D23863">
      <w:pPr>
        <w:pStyle w:val="DefaultText"/>
        <w:rPr>
          <w:rFonts w:ascii="Arial" w:hAnsi="Arial" w:cs="Arial"/>
        </w:rPr>
      </w:pPr>
    </w:p>
    <w:p w14:paraId="60A572E0" w14:textId="77777777" w:rsidR="00D23863" w:rsidRPr="00AD69B8" w:rsidRDefault="00D23863" w:rsidP="00D23863">
      <w:pPr>
        <w:pStyle w:val="DefaultText"/>
        <w:rPr>
          <w:rFonts w:ascii="Arial" w:hAnsi="Arial" w:cs="Arial"/>
        </w:rPr>
      </w:pPr>
    </w:p>
    <w:p w14:paraId="4634D417" w14:textId="77777777" w:rsidR="00D23863" w:rsidRPr="00AD69B8" w:rsidRDefault="00D23863" w:rsidP="00D23863">
      <w:pPr>
        <w:pStyle w:val="DefaultText"/>
        <w:rPr>
          <w:rFonts w:ascii="Arial" w:hAnsi="Arial" w:cs="Arial"/>
        </w:rPr>
      </w:pPr>
      <w:r w:rsidRPr="00AD69B8">
        <w:rPr>
          <w:rFonts w:ascii="Arial" w:hAnsi="Arial" w:cs="Arial"/>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73B95297" w14:textId="77777777" w:rsidR="00D23863" w:rsidRPr="00AD69B8" w:rsidRDefault="00D23863" w:rsidP="00D23863">
      <w:pPr>
        <w:pStyle w:val="DefaultText"/>
        <w:rPr>
          <w:rFonts w:ascii="Arial" w:hAnsi="Arial" w:cs="Arial"/>
        </w:rPr>
      </w:pPr>
    </w:p>
    <w:p w14:paraId="27A25BB3" w14:textId="77777777" w:rsidR="00D23863" w:rsidRPr="00AD69B8" w:rsidRDefault="00D23863" w:rsidP="00D23863">
      <w:pPr>
        <w:pStyle w:val="DefaultText"/>
        <w:rPr>
          <w:rFonts w:ascii="Arial" w:hAnsi="Arial" w:cs="Arial"/>
        </w:rPr>
      </w:pPr>
      <w:r w:rsidRPr="00AD69B8">
        <w:rPr>
          <w:rFonts w:ascii="Arial" w:hAnsi="Arial" w:cs="Arial"/>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rPr>
        <w:t>{ }</w:t>
      </w:r>
      <w:proofErr w:type="gramEnd"/>
      <w:r w:rsidRPr="00AD69B8">
        <w:rPr>
          <w:rFonts w:ascii="Arial" w:hAnsi="Arial" w:cs="Arial"/>
        </w:rPr>
        <w:t>.</w:t>
      </w:r>
    </w:p>
    <w:p w14:paraId="1AA4AAC9" w14:textId="77777777" w:rsidR="00D23863" w:rsidRPr="00AD69B8" w:rsidRDefault="00D23863" w:rsidP="00D23863">
      <w:pPr>
        <w:pStyle w:val="DefaultText"/>
        <w:rPr>
          <w:rFonts w:ascii="Arial" w:hAnsi="Arial" w:cs="Arial"/>
        </w:rPr>
      </w:pPr>
    </w:p>
    <w:p w14:paraId="3A38A2CF" w14:textId="77777777" w:rsidR="00D23863" w:rsidRPr="00AD69B8" w:rsidRDefault="00D23863" w:rsidP="00D23863">
      <w:pPr>
        <w:pStyle w:val="DefaultText"/>
        <w:rPr>
          <w:rFonts w:ascii="Arial" w:hAnsi="Arial" w:cs="Arial"/>
        </w:rPr>
      </w:pPr>
    </w:p>
    <w:p w14:paraId="29CAA51C" w14:textId="77777777" w:rsidR="00D23863" w:rsidRPr="00AD69B8" w:rsidRDefault="00D23863" w:rsidP="00D23863">
      <w:pPr>
        <w:pStyle w:val="DefaultText"/>
        <w:rPr>
          <w:rFonts w:ascii="Arial" w:hAnsi="Arial" w:cs="Arial"/>
          <w:sz w:val="22"/>
        </w:rPr>
      </w:pPr>
      <w:r w:rsidRPr="00AD69B8">
        <w:rPr>
          <w:rFonts w:ascii="Arial" w:hAnsi="Arial" w:cs="Arial"/>
          <w:sz w:val="22"/>
        </w:rPr>
        <w:t>WHAT YOU NEED TO KNOW:</w:t>
      </w:r>
    </w:p>
    <w:p w14:paraId="5E2CE8B4" w14:textId="77777777" w:rsidR="00D23863" w:rsidRPr="00AD69B8" w:rsidRDefault="00D23863" w:rsidP="00D23863">
      <w:pPr>
        <w:pStyle w:val="DefaultText"/>
        <w:tabs>
          <w:tab w:val="left" w:pos="540"/>
        </w:tabs>
        <w:rPr>
          <w:rFonts w:ascii="Arial" w:hAnsi="Arial" w:cs="Arial"/>
        </w:rPr>
      </w:pPr>
    </w:p>
    <w:p w14:paraId="7BE830CE" w14:textId="77777777" w:rsidR="00D23863" w:rsidRPr="00AD69B8" w:rsidRDefault="00D23863" w:rsidP="00D23863">
      <w:pPr>
        <w:pStyle w:val="DefaultText"/>
        <w:tabs>
          <w:tab w:val="left" w:pos="540"/>
        </w:tabs>
        <w:ind w:left="540" w:hanging="540"/>
        <w:rPr>
          <w:rFonts w:ascii="Arial" w:hAnsi="Arial" w:cs="Arial"/>
        </w:rPr>
      </w:pPr>
      <w:r w:rsidRPr="00AD69B8">
        <w:rPr>
          <w:rFonts w:ascii="Arial" w:hAnsi="Arial" w:cs="Arial"/>
        </w:rPr>
        <w:t>1)</w:t>
      </w:r>
      <w:r w:rsidRPr="00AD69B8">
        <w:rPr>
          <w:rFonts w:ascii="Arial" w:hAnsi="Arial" w:cs="Arial"/>
        </w:rPr>
        <w:tab/>
        <w:t>These files represent the most current revision level to date.  Your current</w:t>
      </w:r>
      <w:r w:rsidRPr="00AD69B8">
        <w:rPr>
          <w:rFonts w:ascii="Arial" w:hAnsi="Arial" w:cs="Arial"/>
        </w:rPr>
        <w:tab/>
        <w:t>product inventory could contain a previous revision level of this procedure.</w:t>
      </w:r>
    </w:p>
    <w:p w14:paraId="15A552DD" w14:textId="77777777" w:rsidR="00D23863" w:rsidRPr="00AD69B8" w:rsidRDefault="00D23863" w:rsidP="00D23863">
      <w:pPr>
        <w:pStyle w:val="DefaultText"/>
        <w:tabs>
          <w:tab w:val="left" w:pos="540"/>
          <w:tab w:val="left" w:pos="630"/>
        </w:tabs>
        <w:rPr>
          <w:rFonts w:ascii="Arial" w:hAnsi="Arial" w:cs="Arial"/>
        </w:rPr>
      </w:pPr>
    </w:p>
    <w:p w14:paraId="02689DDD" w14:textId="77777777" w:rsidR="00D23863" w:rsidRPr="00AD69B8" w:rsidRDefault="00D23863" w:rsidP="00D23863">
      <w:pPr>
        <w:pStyle w:val="DefaultText"/>
        <w:tabs>
          <w:tab w:val="left" w:pos="540"/>
        </w:tabs>
        <w:ind w:left="540" w:hanging="540"/>
        <w:rPr>
          <w:rFonts w:ascii="Arial" w:hAnsi="Arial" w:cs="Arial"/>
        </w:rPr>
      </w:pPr>
      <w:r w:rsidRPr="00AD69B8">
        <w:rPr>
          <w:rFonts w:ascii="Arial" w:hAnsi="Arial" w:cs="Arial"/>
        </w:rPr>
        <w:t>2)</w:t>
      </w:r>
      <w:r w:rsidRPr="00AD69B8">
        <w:rPr>
          <w:rFonts w:ascii="Arial" w:hAnsi="Arial" w:cs="Arial"/>
        </w:rPr>
        <w:tab/>
        <w:t xml:space="preserve">The Microsoft Word document provides the text </w:t>
      </w:r>
      <w:r>
        <w:rPr>
          <w:rFonts w:ascii="Arial" w:hAnsi="Arial" w:cs="Arial"/>
        </w:rPr>
        <w:t xml:space="preserve">only from the master procedure, </w:t>
      </w:r>
      <w:r w:rsidRPr="00AD69B8">
        <w:rPr>
          <w:rFonts w:ascii="Arial" w:hAnsi="Arial" w:cs="Arial"/>
        </w:rPr>
        <w:t>in a single-column format.</w:t>
      </w:r>
    </w:p>
    <w:p w14:paraId="027CD5E5" w14:textId="77777777" w:rsidR="00D23863" w:rsidRPr="00AD69B8" w:rsidRDefault="00D23863" w:rsidP="00D23863">
      <w:pPr>
        <w:pStyle w:val="DefaultText"/>
        <w:tabs>
          <w:tab w:val="left" w:pos="540"/>
          <w:tab w:val="left" w:pos="630"/>
        </w:tabs>
        <w:rPr>
          <w:rFonts w:ascii="Arial" w:hAnsi="Arial" w:cs="Arial"/>
        </w:rPr>
      </w:pPr>
    </w:p>
    <w:p w14:paraId="0A2664EC" w14:textId="77777777" w:rsidR="00D23863" w:rsidRPr="00AD69B8" w:rsidRDefault="00D23863" w:rsidP="00D23863">
      <w:pPr>
        <w:pStyle w:val="DefaultText"/>
        <w:numPr>
          <w:ilvl w:val="0"/>
          <w:numId w:val="5"/>
        </w:numPr>
        <w:tabs>
          <w:tab w:val="left" w:pos="540"/>
          <w:tab w:val="left" w:pos="630"/>
        </w:tabs>
        <w:rPr>
          <w:rFonts w:ascii="Arial" w:hAnsi="Arial" w:cs="Arial"/>
        </w:rPr>
      </w:pPr>
      <w:r w:rsidRPr="00AD69B8">
        <w:rPr>
          <w:rFonts w:ascii="Arial" w:hAnsi="Arial" w:cs="Arial"/>
        </w:rPr>
        <w:t>It may not contain any illustrations, graphics or captions that may be part of the master procedure included in the kit.</w:t>
      </w:r>
    </w:p>
    <w:p w14:paraId="7DFA7B15" w14:textId="77777777" w:rsidR="00D23863" w:rsidRPr="00AD69B8" w:rsidRDefault="00D23863" w:rsidP="00D23863">
      <w:pPr>
        <w:pStyle w:val="DefaultText"/>
        <w:tabs>
          <w:tab w:val="left" w:pos="540"/>
          <w:tab w:val="left" w:pos="630"/>
          <w:tab w:val="left" w:pos="1080"/>
        </w:tabs>
        <w:rPr>
          <w:rFonts w:ascii="Arial" w:hAnsi="Arial" w:cs="Arial"/>
        </w:rPr>
      </w:pPr>
    </w:p>
    <w:p w14:paraId="0D50C68B" w14:textId="77777777" w:rsidR="00D23863" w:rsidRPr="00AD69B8" w:rsidRDefault="00D23863" w:rsidP="00D23863">
      <w:pPr>
        <w:pStyle w:val="DefaultText"/>
        <w:numPr>
          <w:ilvl w:val="0"/>
          <w:numId w:val="5"/>
        </w:numPr>
        <w:tabs>
          <w:tab w:val="left" w:pos="540"/>
          <w:tab w:val="left" w:pos="630"/>
        </w:tabs>
        <w:rPr>
          <w:rFonts w:ascii="Arial" w:hAnsi="Arial" w:cs="Arial"/>
        </w:rPr>
      </w:pPr>
      <w:r w:rsidRPr="00AD69B8">
        <w:rPr>
          <w:rFonts w:ascii="Arial" w:hAnsi="Arial" w:cs="Arial"/>
        </w:rPr>
        <w:t>The master procedure may have contained special formatting characters, such as subscripts, superscripts, degree symbols, mean symbols and Greek characters such as alpha, beta, gamma, etc.  These symbols may or may not display properly on your desktop.</w:t>
      </w:r>
    </w:p>
    <w:p w14:paraId="6EDD71C6" w14:textId="77777777" w:rsidR="00D23863" w:rsidRPr="00AD69B8" w:rsidRDefault="00D23863" w:rsidP="00D23863">
      <w:pPr>
        <w:pStyle w:val="DefaultText"/>
        <w:tabs>
          <w:tab w:val="left" w:pos="540"/>
          <w:tab w:val="left" w:pos="630"/>
        </w:tabs>
        <w:rPr>
          <w:rFonts w:ascii="Arial" w:hAnsi="Arial" w:cs="Arial"/>
        </w:rPr>
      </w:pPr>
    </w:p>
    <w:p w14:paraId="4062AA5F" w14:textId="77777777" w:rsidR="00D23863" w:rsidRPr="00AD69B8" w:rsidRDefault="00D23863" w:rsidP="00D23863">
      <w:pPr>
        <w:pStyle w:val="DefaultText"/>
        <w:numPr>
          <w:ilvl w:val="0"/>
          <w:numId w:val="5"/>
        </w:numPr>
        <w:tabs>
          <w:tab w:val="left" w:pos="540"/>
          <w:tab w:val="left" w:pos="630"/>
        </w:tabs>
        <w:rPr>
          <w:rFonts w:ascii="Arial" w:hAnsi="Arial" w:cs="Arial"/>
        </w:rPr>
      </w:pPr>
      <w:r w:rsidRPr="00AD69B8">
        <w:rPr>
          <w:rFonts w:ascii="Arial" w:hAnsi="Arial" w:cs="Arial"/>
        </w:rPr>
        <w:t>The master procedures may also contain columns of tabbed data.  Tab settings may or may not be displayed properly on your desktop.</w:t>
      </w:r>
    </w:p>
    <w:p w14:paraId="242ED8A7" w14:textId="77777777" w:rsidR="00D23863" w:rsidRPr="00AD69B8" w:rsidRDefault="00D23863" w:rsidP="00D23863">
      <w:pPr>
        <w:pStyle w:val="DefaultText"/>
        <w:tabs>
          <w:tab w:val="left" w:pos="540"/>
          <w:tab w:val="left" w:pos="630"/>
          <w:tab w:val="left" w:pos="1080"/>
        </w:tabs>
        <w:ind w:left="630"/>
        <w:rPr>
          <w:rFonts w:ascii="Arial" w:hAnsi="Arial" w:cs="Arial"/>
        </w:rPr>
      </w:pPr>
    </w:p>
    <w:p w14:paraId="343A45DA" w14:textId="77777777" w:rsidR="00D23863" w:rsidRPr="00AD69B8" w:rsidRDefault="00D23863" w:rsidP="00D23863">
      <w:pPr>
        <w:pStyle w:val="DefaultText"/>
        <w:tabs>
          <w:tab w:val="left" w:pos="540"/>
        </w:tabs>
        <w:ind w:left="540" w:hanging="540"/>
        <w:rPr>
          <w:rFonts w:ascii="Arial" w:hAnsi="Arial" w:cs="Arial"/>
        </w:rPr>
      </w:pPr>
      <w:r w:rsidRPr="00AD69B8">
        <w:rPr>
          <w:rFonts w:ascii="Arial" w:hAnsi="Arial" w:cs="Arial"/>
        </w:rPr>
        <w:t>3)</w:t>
      </w:r>
      <w:r w:rsidRPr="00AD69B8">
        <w:rPr>
          <w:rFonts w:ascii="Arial" w:hAnsi="Arial" w:cs="Arial"/>
        </w:rPr>
        <w:tab/>
        <w:t>The Adobe Acrobat PDF file provides a snapsh</w:t>
      </w:r>
      <w:r>
        <w:rPr>
          <w:rFonts w:ascii="Arial" w:hAnsi="Arial" w:cs="Arial"/>
        </w:rPr>
        <w:t xml:space="preserve">ot of the master procedure in a </w:t>
      </w:r>
      <w:r w:rsidRPr="00AD69B8">
        <w:rPr>
          <w:rFonts w:ascii="Arial" w:hAnsi="Arial" w:cs="Arial"/>
        </w:rPr>
        <w:t>printable 8.5 x 11” format.  It is provided to serve as a reference f</w:t>
      </w:r>
      <w:r>
        <w:rPr>
          <w:rFonts w:ascii="Arial" w:hAnsi="Arial" w:cs="Arial"/>
        </w:rPr>
        <w:t xml:space="preserve">or </w:t>
      </w:r>
      <w:r w:rsidRPr="00AD69B8">
        <w:rPr>
          <w:rFonts w:ascii="Arial" w:hAnsi="Arial" w:cs="Arial"/>
        </w:rPr>
        <w:t>accuracy.</w:t>
      </w:r>
    </w:p>
    <w:p w14:paraId="3A96851A" w14:textId="77777777" w:rsidR="00D23863" w:rsidRPr="00AD69B8" w:rsidRDefault="00D23863" w:rsidP="00D23863">
      <w:pPr>
        <w:pStyle w:val="DefaultText"/>
        <w:tabs>
          <w:tab w:val="left" w:pos="540"/>
        </w:tabs>
        <w:rPr>
          <w:rFonts w:ascii="Arial" w:hAnsi="Arial" w:cs="Arial"/>
        </w:rPr>
      </w:pPr>
    </w:p>
    <w:p w14:paraId="3B7D062B" w14:textId="77777777" w:rsidR="00D23863" w:rsidRPr="00AD69B8" w:rsidRDefault="00D23863" w:rsidP="00D23863">
      <w:pPr>
        <w:pStyle w:val="DefaultText"/>
        <w:tabs>
          <w:tab w:val="left" w:pos="540"/>
          <w:tab w:val="left" w:pos="1080"/>
        </w:tabs>
        <w:ind w:left="540" w:hanging="540"/>
        <w:rPr>
          <w:rFonts w:ascii="Arial" w:hAnsi="Arial" w:cs="Arial"/>
        </w:rPr>
      </w:pPr>
      <w:r w:rsidRPr="00AD69B8">
        <w:rPr>
          <w:rFonts w:ascii="Arial" w:hAnsi="Arial" w:cs="Arial"/>
        </w:rPr>
        <w:t>4)</w:t>
      </w:r>
      <w:r w:rsidRPr="00AD69B8">
        <w:rPr>
          <w:rFonts w:ascii="Arial" w:hAnsi="Arial" w:cs="Arial"/>
        </w:rPr>
        <w:tab/>
        <w:t>By downloading this procedure, your institution is assuming responsibility for modification and usage.</w:t>
      </w:r>
    </w:p>
    <w:p w14:paraId="466283A6" w14:textId="77777777" w:rsidR="00D23863" w:rsidRPr="00AD69B8" w:rsidRDefault="00D23863" w:rsidP="00D23863">
      <w:pPr>
        <w:pStyle w:val="DefaultText"/>
        <w:tabs>
          <w:tab w:val="left" w:pos="630"/>
          <w:tab w:val="left" w:pos="1080"/>
        </w:tabs>
        <w:rPr>
          <w:rFonts w:ascii="Arial" w:hAnsi="Arial" w:cs="Arial"/>
        </w:rPr>
      </w:pPr>
      <w:r w:rsidRPr="00AD69B8">
        <w:rPr>
          <w:rFonts w:ascii="Arial" w:hAnsi="Arial" w:cs="Arial"/>
        </w:rPr>
        <w:br w:type="page"/>
      </w:r>
    </w:p>
    <w:p w14:paraId="4C6163F3" w14:textId="77777777" w:rsidR="003E5B82" w:rsidRDefault="003E5B82" w:rsidP="003E5B82">
      <w:pPr>
        <w:pStyle w:val="DefaultText"/>
        <w:tabs>
          <w:tab w:val="left" w:pos="630"/>
          <w:tab w:val="left" w:pos="1080"/>
        </w:tabs>
        <w:rPr>
          <w:rFonts w:ascii="Arial" w:hAnsi="Arial" w:cs="Arial"/>
          <w:b/>
        </w:rPr>
      </w:pPr>
      <w:r>
        <w:rPr>
          <w:rFonts w:ascii="Arial" w:hAnsi="Arial" w:cs="Arial"/>
          <w:b/>
          <w:sz w:val="22"/>
        </w:rPr>
        <w:lastRenderedPageBreak/>
        <w:t>HELENA LABORATORIES</w:t>
      </w:r>
    </w:p>
    <w:p w14:paraId="4F4449A7" w14:textId="77777777" w:rsidR="003E5B82" w:rsidRDefault="003E5B82" w:rsidP="003E5B82">
      <w:pPr>
        <w:pStyle w:val="DefaultText"/>
        <w:rPr>
          <w:rFonts w:ascii="Arial" w:hAnsi="Arial" w:cs="Arial"/>
          <w:b/>
          <w:sz w:val="22"/>
        </w:rPr>
      </w:pPr>
      <w:r>
        <w:rPr>
          <w:rFonts w:ascii="Arial" w:hAnsi="Arial" w:cs="Arial"/>
          <w:b/>
          <w:sz w:val="22"/>
        </w:rPr>
        <w:t>PROCEDURE DOWNLOAD END USER AGREEMENT</w:t>
      </w:r>
    </w:p>
    <w:p w14:paraId="09CA667C" w14:textId="77777777" w:rsidR="003E5B82" w:rsidRDefault="003E5B82" w:rsidP="003E5B82">
      <w:pPr>
        <w:pStyle w:val="DefaultText"/>
        <w:rPr>
          <w:rFonts w:ascii="Arial" w:hAnsi="Arial" w:cs="Arial"/>
          <w:sz w:val="22"/>
        </w:rPr>
      </w:pPr>
    </w:p>
    <w:p w14:paraId="34CA5C38" w14:textId="77777777" w:rsidR="003E5B82" w:rsidRDefault="003E5B82" w:rsidP="003E5B82">
      <w:pPr>
        <w:pStyle w:val="DefaultText"/>
        <w:tabs>
          <w:tab w:val="left" w:pos="630"/>
          <w:tab w:val="left" w:pos="1080"/>
        </w:tabs>
        <w:rPr>
          <w:rFonts w:ascii="Arial" w:hAnsi="Arial" w:cs="Arial"/>
          <w:sz w:val="22"/>
        </w:rPr>
      </w:pPr>
    </w:p>
    <w:p w14:paraId="52409A86" w14:textId="77777777" w:rsidR="003E5B82" w:rsidRDefault="003E5B82" w:rsidP="003E5B82">
      <w:pPr>
        <w:pStyle w:val="DefaultText"/>
        <w:tabs>
          <w:tab w:val="left" w:pos="630"/>
          <w:tab w:val="left" w:pos="1080"/>
        </w:tabs>
        <w:rPr>
          <w:rFonts w:ascii="Arial" w:hAnsi="Arial" w:cs="Arial"/>
          <w:sz w:val="22"/>
        </w:rPr>
      </w:pPr>
    </w:p>
    <w:p w14:paraId="1374D9C7" w14:textId="77777777" w:rsidR="003E5B82" w:rsidRDefault="003E5B82" w:rsidP="003E5B82">
      <w:pPr>
        <w:pStyle w:val="DefaultText"/>
        <w:tabs>
          <w:tab w:val="left" w:pos="630"/>
          <w:tab w:val="left" w:pos="1080"/>
        </w:tabs>
        <w:jc w:val="center"/>
        <w:rPr>
          <w:rFonts w:ascii="Arial" w:hAnsi="Arial" w:cs="Arial"/>
          <w:sz w:val="22"/>
        </w:rPr>
      </w:pPr>
      <w:r>
        <w:rPr>
          <w:rFonts w:ascii="Arial" w:hAnsi="Arial" w:cs="Arial"/>
          <w:sz w:val="22"/>
        </w:rPr>
        <w:t>HELENA LABORATORIES LABELING – Style/Format Outline</w:t>
      </w:r>
    </w:p>
    <w:p w14:paraId="04D36BA2" w14:textId="77777777" w:rsidR="003E5B82" w:rsidRDefault="003E5B82" w:rsidP="003E5B82">
      <w:pPr>
        <w:pStyle w:val="DefaultText"/>
        <w:tabs>
          <w:tab w:val="left" w:pos="630"/>
          <w:tab w:val="left" w:pos="1080"/>
        </w:tabs>
        <w:rPr>
          <w:rFonts w:ascii="Arial" w:hAnsi="Arial" w:cs="Arial"/>
          <w:sz w:val="22"/>
        </w:rPr>
      </w:pPr>
    </w:p>
    <w:p w14:paraId="3DD4CC24" w14:textId="77777777" w:rsidR="003E5B82" w:rsidRDefault="003E5B82" w:rsidP="003E5B82">
      <w:pPr>
        <w:pStyle w:val="DefaultText"/>
        <w:tabs>
          <w:tab w:val="left" w:pos="630"/>
          <w:tab w:val="left" w:pos="1080"/>
        </w:tabs>
        <w:rPr>
          <w:rFonts w:ascii="Arial" w:hAnsi="Arial" w:cs="Arial"/>
          <w:sz w:val="22"/>
        </w:rPr>
      </w:pPr>
    </w:p>
    <w:p w14:paraId="27A853F3" w14:textId="77777777" w:rsidR="003E5B82" w:rsidRDefault="003E5B82" w:rsidP="003E5B82">
      <w:pPr>
        <w:pStyle w:val="DefaultText"/>
        <w:tabs>
          <w:tab w:val="left" w:pos="630"/>
          <w:tab w:val="left" w:pos="1080"/>
        </w:tabs>
        <w:rPr>
          <w:rFonts w:ascii="Arial" w:hAnsi="Arial" w:cs="Arial"/>
        </w:rPr>
      </w:pPr>
    </w:p>
    <w:p w14:paraId="7FA96711"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PRODUCT {Test} NAME</w:t>
      </w:r>
    </w:p>
    <w:p w14:paraId="20E3F68E"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INTENDED USE and TEST TYPE (qualitative or qualitative)</w:t>
      </w:r>
    </w:p>
    <w:p w14:paraId="64767755"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SUMMARY AND EXPLANATION</w:t>
      </w:r>
    </w:p>
    <w:p w14:paraId="2FCCD83D"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PRINCIPLES OF THE PROCEDURE</w:t>
      </w:r>
    </w:p>
    <w:p w14:paraId="60906643" w14:textId="77777777" w:rsidR="003E5B82" w:rsidRDefault="003E5B82" w:rsidP="003E5B82">
      <w:pPr>
        <w:pStyle w:val="DefaultText"/>
        <w:tabs>
          <w:tab w:val="left" w:pos="630"/>
          <w:tab w:val="left" w:pos="1080"/>
        </w:tabs>
        <w:rPr>
          <w:rFonts w:ascii="Arial" w:hAnsi="Arial" w:cs="Arial"/>
          <w:i/>
          <w:iCs/>
        </w:rPr>
      </w:pPr>
      <w:r>
        <w:rPr>
          <w:rFonts w:ascii="Arial" w:hAnsi="Arial" w:cs="Arial"/>
        </w:rPr>
        <w:tab/>
        <w:t xml:space="preserve">  {</w:t>
      </w:r>
      <w:r>
        <w:rPr>
          <w:rFonts w:ascii="Arial" w:hAnsi="Arial" w:cs="Arial"/>
          <w:i/>
          <w:iCs/>
        </w:rPr>
        <w:t>NCCLS lists SAMPLE COLLECTION/HANDLING next}</w:t>
      </w:r>
    </w:p>
    <w:p w14:paraId="1EB00AD5"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REAGENTS (name/concentration; warnings/precautions; preparation; storage; environment; Purification/treatment; indications of instability)</w:t>
      </w:r>
    </w:p>
    <w:p w14:paraId="629C55D5" w14:textId="77777777" w:rsidR="003E5B82" w:rsidRDefault="003E5B82" w:rsidP="003E5B82">
      <w:pPr>
        <w:widowControl/>
        <w:autoSpaceDE/>
        <w:autoSpaceDN/>
        <w:rPr>
          <w:rFonts w:eastAsia="Times New Roman"/>
          <w:sz w:val="20"/>
          <w:szCs w:val="20"/>
        </w:rPr>
        <w:sectPr w:rsidR="003E5B82" w:rsidSect="003E5B82">
          <w:type w:val="continuous"/>
          <w:pgSz w:w="12330" w:h="15840"/>
          <w:pgMar w:top="360" w:right="560" w:bottom="280" w:left="680" w:header="720" w:footer="720" w:gutter="0"/>
          <w:cols w:space="720"/>
        </w:sectPr>
      </w:pPr>
    </w:p>
    <w:p w14:paraId="2295BF05"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 xml:space="preserve">INSTRUMENTS required – Refer to Operator Manual (... for equipment for; use or function; Installation; Principles of operation; performance; Operating Instructions; Calibration* {*is next in </w:t>
      </w:r>
    </w:p>
    <w:p w14:paraId="65CDF935" w14:textId="77777777" w:rsidR="003E5B82" w:rsidRDefault="003E5B82" w:rsidP="003E5B82">
      <w:pPr>
        <w:widowControl/>
        <w:autoSpaceDE/>
        <w:autoSpaceDN/>
        <w:rPr>
          <w:rFonts w:eastAsia="Times New Roman"/>
          <w:sz w:val="20"/>
          <w:szCs w:val="20"/>
        </w:rPr>
        <w:sectPr w:rsidR="003E5B82">
          <w:type w:val="continuous"/>
          <w:pgSz w:w="12330" w:h="15840"/>
          <w:pgMar w:top="360" w:right="560" w:bottom="280" w:left="680" w:header="720" w:footer="720" w:gutter="0"/>
          <w:cols w:space="720"/>
        </w:sectPr>
      </w:pPr>
    </w:p>
    <w:p w14:paraId="29DE50A7" w14:textId="77777777" w:rsidR="003E5B82" w:rsidRDefault="003E5B82" w:rsidP="003E5B82">
      <w:pPr>
        <w:pStyle w:val="DefaultText"/>
        <w:tabs>
          <w:tab w:val="left" w:pos="1080"/>
        </w:tabs>
        <w:ind w:left="630"/>
        <w:rPr>
          <w:rFonts w:ascii="Arial" w:hAnsi="Arial" w:cs="Arial"/>
        </w:rPr>
      </w:pPr>
      <w:r>
        <w:rPr>
          <w:rFonts w:ascii="Arial" w:hAnsi="Arial" w:cs="Arial"/>
        </w:rPr>
        <w:t xml:space="preserve"> order for NCCLS – also listed in “PROCEDURE”}’ precautions/limitations/hazards; Service and maintenance information</w:t>
      </w:r>
    </w:p>
    <w:p w14:paraId="50C8EDCF"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SAMPLE COLLECTION/HANDLING</w:t>
      </w:r>
    </w:p>
    <w:p w14:paraId="4758018E" w14:textId="77777777" w:rsidR="003E5B82" w:rsidRDefault="003E5B82" w:rsidP="003E5B82">
      <w:pPr>
        <w:pStyle w:val="DefaultText"/>
        <w:numPr>
          <w:ilvl w:val="0"/>
          <w:numId w:val="7"/>
        </w:numPr>
        <w:tabs>
          <w:tab w:val="left" w:pos="1080"/>
        </w:tabs>
        <w:textAlignment w:val="auto"/>
        <w:rPr>
          <w:rFonts w:ascii="Arial" w:hAnsi="Arial" w:cs="Arial"/>
        </w:rPr>
      </w:pPr>
      <w:r>
        <w:rPr>
          <w:rFonts w:ascii="Arial" w:hAnsi="Arial" w:cs="Arial"/>
        </w:rPr>
        <w:t>PROCEDURE</w:t>
      </w:r>
    </w:p>
    <w:p w14:paraId="164078E2" w14:textId="77777777" w:rsidR="003E5B82" w:rsidRDefault="003E5B82" w:rsidP="003E5B82">
      <w:pPr>
        <w:pStyle w:val="DefaultText"/>
        <w:tabs>
          <w:tab w:val="left" w:pos="630"/>
          <w:tab w:val="left" w:pos="1080"/>
        </w:tabs>
        <w:rPr>
          <w:rFonts w:ascii="Arial" w:hAnsi="Arial" w:cs="Arial"/>
        </w:rPr>
      </w:pPr>
      <w:r>
        <w:rPr>
          <w:rFonts w:ascii="Arial" w:hAnsi="Arial" w:cs="Arial"/>
        </w:rPr>
        <w:tab/>
        <w:t xml:space="preserve">  {</w:t>
      </w:r>
      <w:r>
        <w:rPr>
          <w:rFonts w:ascii="Arial" w:hAnsi="Arial" w:cs="Arial"/>
          <w:i/>
          <w:iCs/>
        </w:rPr>
        <w:t>NCCLS lists QUALITY CONTROL (QC) next}</w:t>
      </w:r>
    </w:p>
    <w:p w14:paraId="426A36D7"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 9)  </w:t>
      </w:r>
      <w:r>
        <w:rPr>
          <w:rFonts w:ascii="Arial" w:hAnsi="Arial" w:cs="Arial"/>
        </w:rPr>
        <w:tab/>
        <w:t>RESULTS (calculations, as applicable; etc.)</w:t>
      </w:r>
    </w:p>
    <w:p w14:paraId="7FC6AD8B"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10) </w:t>
      </w:r>
      <w:r>
        <w:rPr>
          <w:rFonts w:ascii="Arial" w:hAnsi="Arial" w:cs="Arial"/>
        </w:rPr>
        <w:tab/>
        <w:t>LIMITATIONS/NOTES/INTERFERENCES</w:t>
      </w:r>
    </w:p>
    <w:p w14:paraId="03FCACBA"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11) </w:t>
      </w:r>
      <w:r>
        <w:rPr>
          <w:rFonts w:ascii="Arial" w:hAnsi="Arial" w:cs="Arial"/>
        </w:rPr>
        <w:tab/>
        <w:t>EXPECTED VALUES</w:t>
      </w:r>
    </w:p>
    <w:p w14:paraId="0F7B1F89"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12)  </w:t>
      </w:r>
      <w:r>
        <w:rPr>
          <w:rFonts w:ascii="Arial" w:hAnsi="Arial" w:cs="Arial"/>
        </w:rPr>
        <w:tab/>
        <w:t>PERFORMANCE CHARACTERISTCS</w:t>
      </w:r>
    </w:p>
    <w:p w14:paraId="01757495"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13)  </w:t>
      </w:r>
      <w:r>
        <w:rPr>
          <w:rFonts w:ascii="Arial" w:hAnsi="Arial" w:cs="Arial"/>
        </w:rPr>
        <w:tab/>
        <w:t>BIBLIOGRAPHY (of pertinent references)</w:t>
      </w:r>
    </w:p>
    <w:p w14:paraId="1206393F"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14)  </w:t>
      </w:r>
      <w:r>
        <w:rPr>
          <w:rFonts w:ascii="Arial" w:hAnsi="Arial" w:cs="Arial"/>
        </w:rPr>
        <w:tab/>
        <w:t>NAME AND PLACE OF BUSINESS OF MANUFACTURER</w:t>
      </w:r>
    </w:p>
    <w:p w14:paraId="13CED373" w14:textId="77777777" w:rsidR="003E5B82" w:rsidRDefault="003E5B82" w:rsidP="003E5B82">
      <w:pPr>
        <w:pStyle w:val="DefaultText"/>
        <w:tabs>
          <w:tab w:val="left" w:pos="630"/>
          <w:tab w:val="left" w:pos="1080"/>
        </w:tabs>
        <w:rPr>
          <w:rFonts w:ascii="Arial" w:hAnsi="Arial" w:cs="Arial"/>
        </w:rPr>
      </w:pPr>
      <w:r>
        <w:rPr>
          <w:rFonts w:ascii="Arial" w:hAnsi="Arial" w:cs="Arial"/>
        </w:rPr>
        <w:t xml:space="preserve">15)  </w:t>
      </w:r>
      <w:r>
        <w:rPr>
          <w:rFonts w:ascii="Arial" w:hAnsi="Arial" w:cs="Arial"/>
        </w:rPr>
        <w:tab/>
        <w:t>DATE OF ISSUANCE OF LABELING (instructions)</w:t>
      </w:r>
    </w:p>
    <w:p w14:paraId="4062D86E" w14:textId="77777777" w:rsidR="00CD4D21" w:rsidRDefault="00CD4D21" w:rsidP="00D23863">
      <w:pPr>
        <w:rPr>
          <w:rFonts w:ascii="Times New Roman"/>
          <w:sz w:val="11"/>
        </w:rPr>
      </w:pPr>
    </w:p>
    <w:p w14:paraId="7D994DBF" w14:textId="77777777" w:rsidR="00CD4D21" w:rsidRDefault="00CD4D21" w:rsidP="00D23863">
      <w:pPr>
        <w:rPr>
          <w:rFonts w:ascii="Times New Roman"/>
          <w:sz w:val="11"/>
        </w:rPr>
      </w:pPr>
    </w:p>
    <w:p w14:paraId="63E7B80D" w14:textId="77777777" w:rsidR="00CD4D21" w:rsidRDefault="00CD4D21" w:rsidP="00D23863">
      <w:pPr>
        <w:rPr>
          <w:rFonts w:ascii="Times New Roman"/>
          <w:sz w:val="11"/>
        </w:rPr>
      </w:pPr>
    </w:p>
    <w:p w14:paraId="7550A8A5" w14:textId="77777777" w:rsidR="001D4AFE" w:rsidRPr="00CE1317" w:rsidRDefault="001D4AFE" w:rsidP="001D4AFE">
      <w:pPr>
        <w:rPr>
          <w:sz w:val="20"/>
          <w:szCs w:val="20"/>
        </w:rPr>
      </w:pPr>
    </w:p>
    <w:p w14:paraId="3262ADFD" w14:textId="77777777" w:rsidR="001D4AFE" w:rsidRPr="00CE1317" w:rsidRDefault="001D4AFE" w:rsidP="001D4AFE">
      <w:pPr>
        <w:jc w:val="center"/>
        <w:rPr>
          <w:sz w:val="20"/>
          <w:szCs w:val="20"/>
        </w:rPr>
      </w:pPr>
      <w:r w:rsidRPr="00CE1317">
        <w:rPr>
          <w:sz w:val="20"/>
          <w:szCs w:val="20"/>
        </w:rPr>
        <w:t xml:space="preserve">For Sales, Technical and Order Information, and Service Assistance, </w:t>
      </w:r>
      <w:r>
        <w:rPr>
          <w:rFonts w:ascii="MS Mincho" w:eastAsia="MS Mincho" w:hAnsi="MS Mincho" w:cs="MS Mincho"/>
          <w:sz w:val="20"/>
          <w:szCs w:val="20"/>
        </w:rPr>
        <w:br/>
      </w:r>
      <w:r w:rsidRPr="00CE1317">
        <w:rPr>
          <w:sz w:val="20"/>
          <w:szCs w:val="20"/>
        </w:rPr>
        <w:t>call Helena Laboratories toll free at 1-800-231-5663.</w:t>
      </w:r>
    </w:p>
    <w:p w14:paraId="0EB99A0E" w14:textId="77777777" w:rsidR="001D4AFE" w:rsidRPr="00CE1317" w:rsidRDefault="001D4AFE" w:rsidP="001D4AFE">
      <w:pPr>
        <w:rPr>
          <w:sz w:val="20"/>
          <w:szCs w:val="20"/>
        </w:rPr>
      </w:pPr>
    </w:p>
    <w:p w14:paraId="0157C815" w14:textId="77777777" w:rsidR="001D4AFE" w:rsidRPr="00CE1317" w:rsidRDefault="001D4AFE" w:rsidP="001D4AFE">
      <w:pPr>
        <w:rPr>
          <w:sz w:val="20"/>
          <w:szCs w:val="20"/>
        </w:rPr>
      </w:pPr>
    </w:p>
    <w:p w14:paraId="1FA37B90" w14:textId="77777777" w:rsidR="001D4AFE" w:rsidRPr="00CE1317" w:rsidRDefault="001D4AFE" w:rsidP="001D4AFE">
      <w:pPr>
        <w:rPr>
          <w:sz w:val="20"/>
          <w:szCs w:val="20"/>
        </w:rPr>
      </w:pPr>
    </w:p>
    <w:p w14:paraId="5DC8040D" w14:textId="77777777" w:rsidR="001D4AFE" w:rsidRPr="00CE1317" w:rsidRDefault="001D4AFE" w:rsidP="001D4AFE">
      <w:pPr>
        <w:rPr>
          <w:sz w:val="20"/>
          <w:szCs w:val="20"/>
        </w:rPr>
      </w:pPr>
      <w:r w:rsidRPr="00CE1317">
        <w:rPr>
          <w:sz w:val="20"/>
          <w:szCs w:val="20"/>
        </w:rPr>
        <w:t>Form 364</w:t>
      </w:r>
    </w:p>
    <w:p w14:paraId="5D5049AA" w14:textId="77777777" w:rsidR="001D4AFE" w:rsidRPr="00CE1317" w:rsidRDefault="001D4AFE" w:rsidP="001D4AFE">
      <w:pPr>
        <w:rPr>
          <w:sz w:val="20"/>
          <w:szCs w:val="20"/>
        </w:rPr>
      </w:pPr>
      <w:r w:rsidRPr="00CE1317">
        <w:rPr>
          <w:sz w:val="20"/>
          <w:szCs w:val="20"/>
        </w:rPr>
        <w:t>Helena Laboratories</w:t>
      </w:r>
    </w:p>
    <w:p w14:paraId="6C26E64E" w14:textId="77777777" w:rsidR="001D4AFE" w:rsidRPr="00C522C5" w:rsidRDefault="001D4AFE" w:rsidP="001D4AFE">
      <w:r w:rsidRPr="00CE1317">
        <w:rPr>
          <w:sz w:val="20"/>
          <w:szCs w:val="20"/>
        </w:rPr>
        <w:t>1/2006 (Rev 3)</w:t>
      </w:r>
    </w:p>
    <w:p w14:paraId="2B5E3F97" w14:textId="77777777" w:rsidR="001D4AFE" w:rsidRDefault="001D4AFE" w:rsidP="001D4AFE"/>
    <w:p w14:paraId="59BA4411" w14:textId="77777777" w:rsidR="001D4AFE" w:rsidRDefault="001D4AFE" w:rsidP="001D4AFE"/>
    <w:p w14:paraId="6F8BE338" w14:textId="77777777" w:rsidR="00CD4D21" w:rsidRDefault="00CD4D21" w:rsidP="00D23863">
      <w:pPr>
        <w:rPr>
          <w:rFonts w:ascii="Times New Roman"/>
          <w:sz w:val="11"/>
        </w:rPr>
      </w:pPr>
    </w:p>
    <w:p w14:paraId="57A4162C" w14:textId="77777777" w:rsidR="00CD4D21" w:rsidRDefault="00CD4D21" w:rsidP="00D23863">
      <w:pPr>
        <w:rPr>
          <w:rFonts w:ascii="Times New Roman"/>
          <w:sz w:val="11"/>
        </w:rPr>
      </w:pPr>
    </w:p>
    <w:p w14:paraId="35DE77BE" w14:textId="77777777" w:rsidR="00CD4D21" w:rsidRDefault="00CD4D21" w:rsidP="00D23863">
      <w:pPr>
        <w:rPr>
          <w:rFonts w:ascii="Times New Roman"/>
          <w:sz w:val="11"/>
        </w:rPr>
      </w:pPr>
    </w:p>
    <w:p w14:paraId="6CA9D70D" w14:textId="77777777" w:rsidR="00CD4D21" w:rsidRDefault="00CD4D21" w:rsidP="00D23863">
      <w:pPr>
        <w:rPr>
          <w:rFonts w:ascii="Times New Roman"/>
          <w:sz w:val="11"/>
        </w:rPr>
      </w:pPr>
    </w:p>
    <w:p w14:paraId="43E182D1" w14:textId="77777777" w:rsidR="00CD4D21" w:rsidRDefault="00CD4D21" w:rsidP="00D23863">
      <w:pPr>
        <w:rPr>
          <w:rFonts w:ascii="Times New Roman"/>
          <w:sz w:val="11"/>
        </w:rPr>
      </w:pPr>
    </w:p>
    <w:p w14:paraId="4D8D19CD" w14:textId="77777777" w:rsidR="00CD4D21" w:rsidRDefault="00CD4D21" w:rsidP="00D23863">
      <w:pPr>
        <w:rPr>
          <w:rFonts w:ascii="Times New Roman"/>
          <w:sz w:val="11"/>
        </w:rPr>
      </w:pPr>
    </w:p>
    <w:p w14:paraId="270A62EB" w14:textId="77777777" w:rsidR="00CD4D21" w:rsidRDefault="00CD4D21" w:rsidP="00D23863">
      <w:pPr>
        <w:rPr>
          <w:rFonts w:ascii="Times New Roman"/>
          <w:sz w:val="11"/>
        </w:rPr>
      </w:pPr>
    </w:p>
    <w:p w14:paraId="0B5BC1C5" w14:textId="77777777" w:rsidR="00CD4D21" w:rsidRDefault="00CD4D21" w:rsidP="00D23863">
      <w:pPr>
        <w:rPr>
          <w:rFonts w:ascii="Times New Roman"/>
          <w:sz w:val="11"/>
        </w:rPr>
      </w:pPr>
    </w:p>
    <w:p w14:paraId="66400BB5" w14:textId="77777777" w:rsidR="00CD4D21" w:rsidRDefault="00CD4D21" w:rsidP="00D23863">
      <w:pPr>
        <w:rPr>
          <w:rFonts w:ascii="Times New Roman"/>
          <w:sz w:val="11"/>
        </w:rPr>
      </w:pPr>
    </w:p>
    <w:p w14:paraId="3125A16E" w14:textId="77777777" w:rsidR="00CD4D21" w:rsidRDefault="00CD4D21" w:rsidP="00D23863">
      <w:pPr>
        <w:rPr>
          <w:rFonts w:ascii="Times New Roman"/>
          <w:sz w:val="11"/>
        </w:rPr>
      </w:pPr>
    </w:p>
    <w:p w14:paraId="4A58D0FC" w14:textId="77777777" w:rsidR="00CD4D21" w:rsidRDefault="00CD4D21" w:rsidP="00D23863">
      <w:pPr>
        <w:rPr>
          <w:rFonts w:ascii="Times New Roman"/>
          <w:sz w:val="11"/>
        </w:rPr>
      </w:pPr>
    </w:p>
    <w:p w14:paraId="20C4A464" w14:textId="77777777" w:rsidR="00CD4D21" w:rsidRDefault="00CD4D21" w:rsidP="00D23863">
      <w:pPr>
        <w:rPr>
          <w:rFonts w:ascii="Times New Roman"/>
          <w:sz w:val="11"/>
        </w:rPr>
      </w:pPr>
    </w:p>
    <w:p w14:paraId="544560A7" w14:textId="77777777" w:rsidR="00CD4D21" w:rsidRDefault="00CD4D21" w:rsidP="00D23863">
      <w:pPr>
        <w:rPr>
          <w:rFonts w:ascii="Times New Roman"/>
          <w:sz w:val="11"/>
        </w:rPr>
      </w:pPr>
    </w:p>
    <w:p w14:paraId="1B2D195F" w14:textId="77777777" w:rsidR="00CD4D21" w:rsidRDefault="00CD4D21" w:rsidP="00D23863">
      <w:pPr>
        <w:rPr>
          <w:rFonts w:ascii="Times New Roman"/>
          <w:sz w:val="11"/>
        </w:rPr>
      </w:pPr>
    </w:p>
    <w:p w14:paraId="40BCDCC2" w14:textId="77777777" w:rsidR="00CD4D21" w:rsidRDefault="00CD4D21" w:rsidP="00D23863">
      <w:pPr>
        <w:rPr>
          <w:rFonts w:ascii="Times New Roman"/>
          <w:sz w:val="11"/>
        </w:rPr>
      </w:pPr>
    </w:p>
    <w:p w14:paraId="17C01C3B" w14:textId="77777777" w:rsidR="00CD4D21" w:rsidRDefault="00CD4D21" w:rsidP="00D23863">
      <w:pPr>
        <w:rPr>
          <w:rFonts w:ascii="Times New Roman"/>
          <w:sz w:val="11"/>
        </w:rPr>
      </w:pPr>
    </w:p>
    <w:p w14:paraId="06341576" w14:textId="77777777" w:rsidR="00CD4D21" w:rsidRDefault="00CD4D21" w:rsidP="00D23863">
      <w:pPr>
        <w:rPr>
          <w:rFonts w:ascii="Times New Roman"/>
          <w:sz w:val="11"/>
        </w:rPr>
      </w:pPr>
    </w:p>
    <w:p w14:paraId="773A1FF0" w14:textId="77777777" w:rsidR="00CD4D21" w:rsidRDefault="00CD4D21" w:rsidP="00D23863">
      <w:pPr>
        <w:rPr>
          <w:rFonts w:ascii="Times New Roman"/>
          <w:sz w:val="11"/>
        </w:rPr>
      </w:pPr>
    </w:p>
    <w:p w14:paraId="6409E30C" w14:textId="77777777" w:rsidR="00CD4D21" w:rsidRDefault="00CD4D21" w:rsidP="00D23863">
      <w:pPr>
        <w:rPr>
          <w:rFonts w:ascii="Times New Roman"/>
          <w:sz w:val="11"/>
        </w:rPr>
      </w:pPr>
    </w:p>
    <w:p w14:paraId="51F7989A" w14:textId="77777777" w:rsidR="00CD4D21" w:rsidRDefault="00CD4D21" w:rsidP="00D23863">
      <w:pPr>
        <w:rPr>
          <w:rFonts w:ascii="Times New Roman"/>
          <w:sz w:val="11"/>
        </w:rPr>
      </w:pPr>
    </w:p>
    <w:p w14:paraId="5DF29FF0" w14:textId="77777777" w:rsidR="00CD4D21" w:rsidRDefault="00CD4D21" w:rsidP="00D23863">
      <w:pPr>
        <w:rPr>
          <w:rFonts w:ascii="Times New Roman"/>
          <w:sz w:val="11"/>
        </w:rPr>
      </w:pPr>
    </w:p>
    <w:p w14:paraId="3E69C573" w14:textId="77777777" w:rsidR="00CD4D21" w:rsidRDefault="00CD4D21" w:rsidP="00D23863">
      <w:pPr>
        <w:rPr>
          <w:rFonts w:ascii="Times New Roman"/>
          <w:sz w:val="11"/>
        </w:rPr>
      </w:pPr>
    </w:p>
    <w:p w14:paraId="7CCCC2AA" w14:textId="77777777" w:rsidR="00CD4D21" w:rsidRDefault="00CD4D21" w:rsidP="00D23863">
      <w:pPr>
        <w:rPr>
          <w:rFonts w:ascii="Times New Roman"/>
          <w:sz w:val="11"/>
        </w:rPr>
      </w:pPr>
    </w:p>
    <w:p w14:paraId="13B87AC6" w14:textId="77777777" w:rsidR="00CD4D21" w:rsidRDefault="00CD4D21" w:rsidP="00D23863">
      <w:pPr>
        <w:rPr>
          <w:rFonts w:ascii="Times New Roman"/>
          <w:sz w:val="11"/>
        </w:rPr>
      </w:pPr>
    </w:p>
    <w:p w14:paraId="77BB51FE" w14:textId="77777777" w:rsidR="00CD4D21" w:rsidRDefault="00CD4D21" w:rsidP="00D23863">
      <w:pPr>
        <w:rPr>
          <w:rFonts w:ascii="Times New Roman"/>
          <w:sz w:val="11"/>
        </w:rPr>
      </w:pPr>
    </w:p>
    <w:p w14:paraId="4C9DE67C" w14:textId="77777777" w:rsidR="00CD4D21" w:rsidRDefault="00CD4D21" w:rsidP="00D23863">
      <w:pPr>
        <w:rPr>
          <w:rFonts w:ascii="Times New Roman"/>
          <w:sz w:val="11"/>
        </w:rPr>
      </w:pPr>
    </w:p>
    <w:p w14:paraId="74118981" w14:textId="77777777" w:rsidR="00CD4D21" w:rsidRDefault="00CD4D21" w:rsidP="00D23863">
      <w:pPr>
        <w:rPr>
          <w:rFonts w:ascii="Times New Roman"/>
          <w:sz w:val="11"/>
        </w:rPr>
      </w:pPr>
    </w:p>
    <w:p w14:paraId="0DF9A87B" w14:textId="77777777" w:rsidR="00CD4D21" w:rsidRDefault="00CD4D21" w:rsidP="00D23863">
      <w:pPr>
        <w:rPr>
          <w:rFonts w:ascii="Times New Roman"/>
          <w:sz w:val="11"/>
        </w:rPr>
      </w:pPr>
    </w:p>
    <w:p w14:paraId="35B4E17E" w14:textId="77777777" w:rsidR="00CD4D21" w:rsidRDefault="00CD4D21" w:rsidP="00D23863">
      <w:pPr>
        <w:rPr>
          <w:rFonts w:ascii="Times New Roman"/>
          <w:sz w:val="11"/>
        </w:rPr>
      </w:pPr>
    </w:p>
    <w:p w14:paraId="3C1C7869" w14:textId="77777777" w:rsidR="00CD4D21" w:rsidRDefault="00CD4D21" w:rsidP="00D23863">
      <w:pPr>
        <w:rPr>
          <w:rFonts w:ascii="Times New Roman"/>
          <w:sz w:val="11"/>
        </w:rPr>
      </w:pPr>
    </w:p>
    <w:p w14:paraId="7176F049" w14:textId="77777777" w:rsidR="00CD4D21" w:rsidRDefault="00CD4D21" w:rsidP="00D23863">
      <w:pPr>
        <w:rPr>
          <w:rFonts w:ascii="Times New Roman"/>
          <w:sz w:val="11"/>
        </w:rPr>
      </w:pPr>
    </w:p>
    <w:p w14:paraId="745DFE5A" w14:textId="77777777" w:rsidR="00CD4D21" w:rsidRDefault="00CD4D21" w:rsidP="00D23863">
      <w:pPr>
        <w:rPr>
          <w:rFonts w:ascii="Times New Roman"/>
          <w:sz w:val="11"/>
        </w:rPr>
      </w:pPr>
    </w:p>
    <w:p w14:paraId="226CB2A3" w14:textId="77777777" w:rsidR="00CD4D21" w:rsidRDefault="00CD4D21" w:rsidP="00D23863">
      <w:pPr>
        <w:rPr>
          <w:rFonts w:ascii="Times New Roman"/>
          <w:sz w:val="11"/>
        </w:rPr>
      </w:pPr>
    </w:p>
    <w:p w14:paraId="11F179C6" w14:textId="77777777" w:rsidR="00CD4D21" w:rsidRDefault="00CD4D21" w:rsidP="00D23863">
      <w:pPr>
        <w:rPr>
          <w:rFonts w:ascii="Times New Roman"/>
          <w:sz w:val="11"/>
        </w:rPr>
      </w:pPr>
    </w:p>
    <w:p w14:paraId="68E97B8B" w14:textId="77777777" w:rsidR="00CD4D21" w:rsidRDefault="00CD4D21" w:rsidP="00D23863">
      <w:pPr>
        <w:rPr>
          <w:rFonts w:ascii="Times New Roman"/>
          <w:sz w:val="11"/>
        </w:rPr>
      </w:pPr>
    </w:p>
    <w:p w14:paraId="7EC28A70" w14:textId="77777777" w:rsidR="00CD4D21" w:rsidRDefault="00CD4D21" w:rsidP="00D23863">
      <w:pPr>
        <w:rPr>
          <w:rFonts w:ascii="Times New Roman"/>
          <w:sz w:val="11"/>
        </w:rPr>
      </w:pPr>
    </w:p>
    <w:p w14:paraId="7EA9EF0D" w14:textId="77777777" w:rsidR="00CD4D21" w:rsidRDefault="00CD4D21" w:rsidP="00D23863">
      <w:pPr>
        <w:rPr>
          <w:rFonts w:ascii="Times New Roman"/>
          <w:sz w:val="11"/>
        </w:rPr>
      </w:pPr>
    </w:p>
    <w:p w14:paraId="6304F46D" w14:textId="77777777" w:rsidR="00CD4D21" w:rsidRDefault="00CD4D21" w:rsidP="00D23863">
      <w:pPr>
        <w:rPr>
          <w:rFonts w:ascii="Times New Roman"/>
          <w:sz w:val="11"/>
        </w:rPr>
      </w:pPr>
    </w:p>
    <w:p w14:paraId="3CAAE202" w14:textId="77777777" w:rsidR="00CD4D21" w:rsidRDefault="00CD4D21" w:rsidP="00D23863">
      <w:pPr>
        <w:rPr>
          <w:rFonts w:ascii="Times New Roman"/>
          <w:sz w:val="11"/>
        </w:rPr>
      </w:pPr>
    </w:p>
    <w:p w14:paraId="48D84BC6" w14:textId="77777777" w:rsidR="00CD4D21" w:rsidRDefault="00CD4D21" w:rsidP="00D23863">
      <w:pPr>
        <w:rPr>
          <w:rFonts w:ascii="Times New Roman"/>
          <w:sz w:val="11"/>
        </w:rPr>
      </w:pPr>
    </w:p>
    <w:p w14:paraId="2013BC2A" w14:textId="77777777" w:rsidR="00CD4D21" w:rsidRDefault="00CD4D21" w:rsidP="00D23863">
      <w:pPr>
        <w:rPr>
          <w:rFonts w:ascii="Times New Roman"/>
          <w:sz w:val="11"/>
        </w:rPr>
      </w:pPr>
    </w:p>
    <w:p w14:paraId="4C18B169" w14:textId="77777777" w:rsidR="00CD4D21" w:rsidRDefault="00CD4D21" w:rsidP="00D23863">
      <w:pPr>
        <w:rPr>
          <w:rFonts w:ascii="Times New Roman"/>
          <w:sz w:val="11"/>
        </w:rPr>
      </w:pPr>
    </w:p>
    <w:p w14:paraId="3D945A45" w14:textId="77777777" w:rsidR="00CD4D21" w:rsidRDefault="00CD4D21" w:rsidP="00D23863">
      <w:pPr>
        <w:rPr>
          <w:rFonts w:ascii="Times New Roman"/>
          <w:sz w:val="11"/>
        </w:rPr>
      </w:pPr>
    </w:p>
    <w:p w14:paraId="67474B5E" w14:textId="77777777" w:rsidR="00CD4D21" w:rsidRDefault="00CD4D21" w:rsidP="00D23863">
      <w:pPr>
        <w:rPr>
          <w:rFonts w:ascii="Times New Roman"/>
          <w:sz w:val="11"/>
        </w:rPr>
      </w:pPr>
    </w:p>
    <w:p w14:paraId="26353EE3" w14:textId="77777777" w:rsidR="00CD4D21" w:rsidRDefault="00CD4D21" w:rsidP="00D23863">
      <w:pPr>
        <w:rPr>
          <w:rFonts w:ascii="Times New Roman"/>
          <w:sz w:val="11"/>
        </w:rPr>
      </w:pPr>
    </w:p>
    <w:p w14:paraId="7FF49E06" w14:textId="77777777" w:rsidR="00CD4D21" w:rsidRDefault="00CD4D21" w:rsidP="00D23863">
      <w:pPr>
        <w:rPr>
          <w:rFonts w:ascii="Times New Roman"/>
          <w:sz w:val="11"/>
        </w:rPr>
      </w:pPr>
    </w:p>
    <w:p w14:paraId="6EFCB4A0" w14:textId="77777777" w:rsidR="00CD4D21" w:rsidRDefault="00CD4D21" w:rsidP="00D23863">
      <w:pPr>
        <w:rPr>
          <w:rFonts w:ascii="Times New Roman"/>
          <w:sz w:val="11"/>
        </w:rPr>
      </w:pPr>
    </w:p>
    <w:p w14:paraId="731A4F0E" w14:textId="77777777" w:rsidR="00CD4D21" w:rsidRDefault="00CD4D21" w:rsidP="00D23863">
      <w:pPr>
        <w:rPr>
          <w:rFonts w:ascii="Times New Roman"/>
          <w:sz w:val="11"/>
        </w:rPr>
      </w:pPr>
    </w:p>
    <w:p w14:paraId="679323AA" w14:textId="77777777" w:rsidR="00CD4D21" w:rsidRDefault="00CD4D21" w:rsidP="00D23863">
      <w:pPr>
        <w:rPr>
          <w:rFonts w:ascii="Times New Roman"/>
          <w:sz w:val="11"/>
        </w:rPr>
      </w:pPr>
    </w:p>
    <w:p w14:paraId="3E374246" w14:textId="77777777" w:rsidR="00CD4D21" w:rsidRDefault="00CD4D21" w:rsidP="00D23863">
      <w:pPr>
        <w:rPr>
          <w:rFonts w:ascii="Times New Roman"/>
          <w:sz w:val="11"/>
        </w:rPr>
      </w:pPr>
    </w:p>
    <w:p w14:paraId="4AB88B56" w14:textId="77777777" w:rsidR="00CD4D21" w:rsidRDefault="00CD4D21" w:rsidP="00D23863">
      <w:pPr>
        <w:rPr>
          <w:rFonts w:ascii="Times New Roman"/>
          <w:sz w:val="11"/>
        </w:rPr>
      </w:pPr>
    </w:p>
    <w:p w14:paraId="63916815" w14:textId="77777777" w:rsidR="00CD4D21" w:rsidRDefault="00CD4D21" w:rsidP="00D23863">
      <w:pPr>
        <w:rPr>
          <w:rFonts w:ascii="Times New Roman"/>
          <w:sz w:val="11"/>
        </w:rPr>
      </w:pPr>
    </w:p>
    <w:p w14:paraId="74443881" w14:textId="77777777" w:rsidR="00CD4D21" w:rsidRDefault="00CD4D21" w:rsidP="00D23863">
      <w:pPr>
        <w:rPr>
          <w:rFonts w:ascii="Times New Roman"/>
          <w:sz w:val="11"/>
        </w:rPr>
      </w:pPr>
    </w:p>
    <w:p w14:paraId="317F550F" w14:textId="77777777" w:rsidR="00CD4D21" w:rsidRDefault="00CD4D21" w:rsidP="00D23863">
      <w:pPr>
        <w:rPr>
          <w:rFonts w:ascii="Times New Roman"/>
          <w:sz w:val="11"/>
        </w:rPr>
      </w:pPr>
    </w:p>
    <w:p w14:paraId="75894B9F" w14:textId="77777777" w:rsidR="00CD4D21" w:rsidRDefault="00CD4D21" w:rsidP="00D23863">
      <w:pPr>
        <w:rPr>
          <w:rFonts w:ascii="Times New Roman"/>
          <w:sz w:val="11"/>
        </w:rPr>
      </w:pPr>
    </w:p>
    <w:p w14:paraId="0A0C541A" w14:textId="77777777" w:rsidR="00CD4D21" w:rsidRDefault="00CD4D21" w:rsidP="00D23863">
      <w:pPr>
        <w:rPr>
          <w:rFonts w:ascii="Times New Roman"/>
          <w:sz w:val="11"/>
        </w:rPr>
      </w:pPr>
    </w:p>
    <w:p w14:paraId="0ED88E29" w14:textId="77777777" w:rsidR="00CD4D21" w:rsidRDefault="00CD4D21" w:rsidP="00D23863">
      <w:pPr>
        <w:rPr>
          <w:rFonts w:ascii="Times New Roman"/>
          <w:sz w:val="11"/>
        </w:rPr>
      </w:pPr>
    </w:p>
    <w:p w14:paraId="3B1FBECF" w14:textId="77777777" w:rsidR="00CD4D21" w:rsidRDefault="00CD4D21" w:rsidP="00D23863">
      <w:pPr>
        <w:rPr>
          <w:rFonts w:ascii="Times New Roman"/>
          <w:sz w:val="11"/>
        </w:rPr>
      </w:pPr>
    </w:p>
    <w:p w14:paraId="19F7260F" w14:textId="77777777" w:rsidR="00CD4D21" w:rsidRDefault="00CD4D21" w:rsidP="00D23863">
      <w:pPr>
        <w:rPr>
          <w:rFonts w:ascii="Times New Roman"/>
          <w:sz w:val="11"/>
        </w:rPr>
      </w:pPr>
    </w:p>
    <w:p w14:paraId="5C3D6EEA" w14:textId="77777777" w:rsidR="00CD4D21" w:rsidRDefault="00CD4D21" w:rsidP="00D23863">
      <w:pPr>
        <w:rPr>
          <w:rFonts w:ascii="Times New Roman"/>
          <w:sz w:val="11"/>
        </w:rPr>
      </w:pPr>
    </w:p>
    <w:p w14:paraId="7274C2F9" w14:textId="77777777" w:rsidR="00CD4D21" w:rsidRDefault="00CD4D21" w:rsidP="00D23863">
      <w:pPr>
        <w:rPr>
          <w:rFonts w:ascii="Times New Roman"/>
          <w:sz w:val="11"/>
        </w:rPr>
      </w:pPr>
    </w:p>
    <w:p w14:paraId="41DD7675" w14:textId="77777777" w:rsidR="00CD4D21" w:rsidRDefault="00CD4D21" w:rsidP="00D23863">
      <w:pPr>
        <w:rPr>
          <w:rFonts w:ascii="Times New Roman"/>
          <w:sz w:val="11"/>
        </w:rPr>
      </w:pPr>
    </w:p>
    <w:p w14:paraId="67889598" w14:textId="77777777" w:rsidR="00CD4D21" w:rsidRPr="00CD4D21" w:rsidRDefault="00CD4D21" w:rsidP="00CD4D21">
      <w:pPr>
        <w:widowControl/>
        <w:adjustRightInd w:val="0"/>
        <w:spacing w:line="288" w:lineRule="auto"/>
        <w:textAlignment w:val="center"/>
        <w:rPr>
          <w:rFonts w:eastAsiaTheme="minorHAnsi"/>
          <w:color w:val="000000"/>
          <w:sz w:val="12"/>
          <w:szCs w:val="12"/>
        </w:rPr>
      </w:pPr>
      <w:r w:rsidRPr="00CD4D21">
        <w:rPr>
          <w:rFonts w:eastAsiaTheme="minorHAnsi"/>
          <w:color w:val="000000"/>
          <w:sz w:val="12"/>
          <w:szCs w:val="12"/>
        </w:rPr>
        <w:t>English</w:t>
      </w:r>
    </w:p>
    <w:p w14:paraId="7DDFD05E" w14:textId="27EF2293" w:rsidR="00CD4D21" w:rsidRPr="00CD4D21" w:rsidRDefault="00184AD2" w:rsidP="00CD4D21">
      <w:pPr>
        <w:widowControl/>
        <w:adjustRightInd w:val="0"/>
        <w:spacing w:line="288" w:lineRule="auto"/>
        <w:textAlignment w:val="center"/>
        <w:rPr>
          <w:rFonts w:eastAsiaTheme="minorHAnsi"/>
          <w:b/>
          <w:bCs/>
          <w:color w:val="000000"/>
        </w:rPr>
      </w:pPr>
      <w:proofErr w:type="spellStart"/>
      <w:r>
        <w:rPr>
          <w:rFonts w:eastAsiaTheme="minorHAnsi"/>
          <w:b/>
          <w:bCs/>
          <w:color w:val="000000"/>
        </w:rPr>
        <w:t>Plateletworks</w:t>
      </w:r>
      <w:proofErr w:type="spellEnd"/>
      <w:r w:rsidR="00CD4D21" w:rsidRPr="00CD4D21">
        <w:rPr>
          <w:rFonts w:eastAsiaTheme="minorHAnsi"/>
          <w:color w:val="000000"/>
          <w:w w:val="98"/>
          <w:vertAlign w:val="superscript"/>
        </w:rPr>
        <w:t>®</w:t>
      </w:r>
    </w:p>
    <w:p w14:paraId="3777747E" w14:textId="5BE1579C" w:rsidR="00CD4D21" w:rsidRDefault="00184AD2" w:rsidP="00CD4D21">
      <w:pPr>
        <w:rPr>
          <w:rFonts w:eastAsiaTheme="minorHAnsi"/>
          <w:b/>
          <w:bCs/>
          <w:color w:val="000000"/>
        </w:rPr>
      </w:pPr>
      <w:r>
        <w:rPr>
          <w:rFonts w:eastAsiaTheme="minorHAnsi"/>
          <w:b/>
          <w:bCs/>
          <w:color w:val="000000"/>
        </w:rPr>
        <w:t>Arachidonic Acid</w:t>
      </w:r>
    </w:p>
    <w:p w14:paraId="74CFDC39" w14:textId="77777777" w:rsidR="00CD4D21" w:rsidRDefault="00CD4D21" w:rsidP="00CD4D21">
      <w:pPr>
        <w:rPr>
          <w:rFonts w:eastAsiaTheme="minorHAnsi"/>
          <w:b/>
          <w:bCs/>
          <w:color w:val="000000"/>
        </w:rPr>
      </w:pPr>
    </w:p>
    <w:p w14:paraId="30AB5F0D" w14:textId="5AEBCB44" w:rsidR="00CD4D21" w:rsidRDefault="00CD4D21" w:rsidP="00184AD2">
      <w:pPr>
        <w:pStyle w:val="txt"/>
      </w:pPr>
      <w:r>
        <w:t>Cat. No. 5</w:t>
      </w:r>
      <w:r w:rsidR="00184AD2">
        <w:t>864, 5854</w:t>
      </w:r>
    </w:p>
    <w:p w14:paraId="3CC62CA4" w14:textId="25032779" w:rsidR="00CD4D21" w:rsidRDefault="00CD4D21" w:rsidP="00CD4D21">
      <w:pPr>
        <w:rPr>
          <w:rFonts w:ascii="Times New Roman"/>
          <w:sz w:val="11"/>
        </w:rPr>
      </w:pPr>
      <w:r w:rsidRPr="00CD4D21">
        <w:rPr>
          <w:noProof/>
        </w:rPr>
        <w:drawing>
          <wp:inline distT="0" distB="0" distL="0" distR="0" wp14:anchorId="28C17F79" wp14:editId="2243FB0F">
            <wp:extent cx="342900" cy="469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2900" cy="469900"/>
                    </a:xfrm>
                    <a:prstGeom prst="rect">
                      <a:avLst/>
                    </a:prstGeom>
                  </pic:spPr>
                </pic:pic>
              </a:graphicData>
            </a:graphic>
          </wp:inline>
        </w:drawing>
      </w:r>
    </w:p>
    <w:p w14:paraId="050E0934" w14:textId="77777777" w:rsidR="00CD4D21" w:rsidRDefault="00CD4D21" w:rsidP="00CD4D21">
      <w:pPr>
        <w:rPr>
          <w:rFonts w:ascii="Times New Roman"/>
          <w:sz w:val="11"/>
        </w:rPr>
      </w:pPr>
    </w:p>
    <w:p w14:paraId="020695F7" w14:textId="77777777" w:rsidR="00501F87" w:rsidRPr="00501F87" w:rsidRDefault="00501F87" w:rsidP="00501F87">
      <w:pPr>
        <w:widowControl/>
        <w:tabs>
          <w:tab w:val="left" w:pos="200"/>
        </w:tabs>
        <w:suppressAutoHyphens/>
        <w:adjustRightInd w:val="0"/>
        <w:spacing w:before="260" w:line="288" w:lineRule="auto"/>
        <w:jc w:val="both"/>
        <w:textAlignment w:val="center"/>
        <w:rPr>
          <w:rFonts w:ascii="Arial MT Std" w:eastAsiaTheme="minorHAnsi" w:hAnsi="Arial MT Std" w:cs="Arial MT Std"/>
          <w:b/>
          <w:bCs/>
          <w:caps/>
          <w:color w:val="000000"/>
          <w:spacing w:val="-1"/>
          <w:sz w:val="16"/>
          <w:szCs w:val="16"/>
        </w:rPr>
      </w:pPr>
      <w:r w:rsidRPr="00501F87">
        <w:rPr>
          <w:rFonts w:ascii="Arial MT Std" w:eastAsiaTheme="minorHAnsi" w:hAnsi="Arial MT Std" w:cs="Arial MT Std"/>
          <w:b/>
          <w:bCs/>
          <w:caps/>
          <w:color w:val="000000"/>
          <w:spacing w:val="-1"/>
          <w:sz w:val="16"/>
          <w:szCs w:val="16"/>
        </w:rPr>
        <w:t xml:space="preserve">INTENDED USE </w:t>
      </w:r>
    </w:p>
    <w:p w14:paraId="51B3C878"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Arachidonic Acid (AA) is an in-vitro diagnostic screening test performed on whole blood for the qualitative determination of platelet inhibition by aspirin. Aspirin inhibits arachidonic acid induced platelet aggregation. The change in platelet count due to activation and aggregation of functional platelets is measured using an electronic impedance-base cell counter.</w:t>
      </w:r>
    </w:p>
    <w:p w14:paraId="791E9615"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b/>
          <w:bCs/>
          <w:caps/>
          <w:color w:val="000000"/>
          <w:spacing w:val="-1"/>
          <w:sz w:val="16"/>
          <w:szCs w:val="16"/>
        </w:rPr>
      </w:pPr>
      <w:r w:rsidRPr="00501F87">
        <w:rPr>
          <w:rFonts w:ascii="Arial MT Std" w:eastAsiaTheme="minorHAnsi" w:hAnsi="Arial MT Std" w:cs="Arial MT Std"/>
          <w:b/>
          <w:bCs/>
          <w:caps/>
          <w:color w:val="000000"/>
          <w:spacing w:val="-1"/>
          <w:sz w:val="16"/>
          <w:szCs w:val="16"/>
        </w:rPr>
        <w:t>SUMMARY</w:t>
      </w:r>
    </w:p>
    <w:p w14:paraId="2570A974"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Platelets are disk-shaped cells circulating in the blood that are produced from megakaryocytes in the bone marrow. These cells participate in formation of the hemostatic plug and are implicated in some thrombotic events.</w:t>
      </w:r>
      <w:r w:rsidRPr="00501F87">
        <w:rPr>
          <w:rFonts w:ascii="Arial MT Std" w:eastAsiaTheme="minorHAnsi" w:hAnsi="Arial MT Std" w:cs="Arial MT Std"/>
          <w:color w:val="000000"/>
          <w:spacing w:val="-1"/>
          <w:sz w:val="16"/>
          <w:szCs w:val="16"/>
          <w:vertAlign w:val="superscript"/>
        </w:rPr>
        <w:t>1</w:t>
      </w:r>
    </w:p>
    <w:p w14:paraId="6E218A80"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Platelet aggregation is performed to identify abnormal platelet function, to quantitate platelet response, and monitor platelet inhibition by drug therapy.</w:t>
      </w:r>
      <w:r w:rsidRPr="00501F87">
        <w:rPr>
          <w:rFonts w:ascii="Arial MT Std" w:eastAsiaTheme="minorHAnsi" w:hAnsi="Arial MT Std" w:cs="Arial MT Std"/>
          <w:color w:val="000000"/>
          <w:spacing w:val="-1"/>
          <w:sz w:val="16"/>
          <w:szCs w:val="16"/>
          <w:vertAlign w:val="superscript"/>
        </w:rPr>
        <w:t>2</w:t>
      </w:r>
    </w:p>
    <w:p w14:paraId="17CB35A8"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Several platelet aggregating agents include thrombin, collagen, ADP, arachidonic acid, antigen-antibody complexes, serotonin and vasopressin. It is useful to study these aggregating agents according to their mode of action. ADP, epinephrine, and vasopressin induce aggregation directly while collagen, thrombin and arachidonic acid act as stimulating substances to induce ADP release and thromboxane A2 release.</w:t>
      </w:r>
      <w:r w:rsidRPr="00501F87">
        <w:rPr>
          <w:rFonts w:ascii="Arial MT Std" w:eastAsiaTheme="minorHAnsi" w:hAnsi="Arial MT Std" w:cs="Arial MT Std"/>
          <w:color w:val="000000"/>
          <w:spacing w:val="-1"/>
          <w:sz w:val="16"/>
          <w:szCs w:val="16"/>
          <w:vertAlign w:val="superscript"/>
        </w:rPr>
        <w:t>2</w:t>
      </w:r>
    </w:p>
    <w:p w14:paraId="69D629E6"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It has been suggested that arachidonic acid</w:t>
      </w:r>
      <w:r w:rsidRPr="00501F87">
        <w:rPr>
          <w:rFonts w:ascii="Arial MT Std" w:eastAsiaTheme="minorHAnsi" w:hAnsi="Arial MT Std" w:cs="Arial MT Std"/>
          <w:color w:val="000000"/>
          <w:spacing w:val="-1"/>
          <w:sz w:val="16"/>
          <w:szCs w:val="16"/>
          <w:vertAlign w:val="superscript"/>
        </w:rPr>
        <w:t>3</w:t>
      </w:r>
      <w:r w:rsidRPr="00501F87">
        <w:rPr>
          <w:rFonts w:ascii="Arial MT Std" w:eastAsiaTheme="minorHAnsi" w:hAnsi="Arial MT Std" w:cs="Arial MT Std"/>
          <w:color w:val="000000"/>
          <w:spacing w:val="-1"/>
          <w:sz w:val="16"/>
          <w:szCs w:val="16"/>
        </w:rPr>
        <w:t xml:space="preserve"> testing be performed before other tests to screen for drug effects that might affect platelet responsiveness.</w:t>
      </w:r>
    </w:p>
    <w:p w14:paraId="58123B6A"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b/>
          <w:bCs/>
          <w:caps/>
          <w:color w:val="000000"/>
          <w:spacing w:val="-1"/>
          <w:sz w:val="16"/>
          <w:szCs w:val="16"/>
        </w:rPr>
      </w:pPr>
      <w:r w:rsidRPr="00501F87">
        <w:rPr>
          <w:rFonts w:ascii="Arial MT Std" w:eastAsiaTheme="minorHAnsi" w:hAnsi="Arial MT Std" w:cs="Arial MT Std"/>
          <w:b/>
          <w:bCs/>
          <w:caps/>
          <w:color w:val="000000"/>
          <w:spacing w:val="-1"/>
          <w:sz w:val="16"/>
          <w:szCs w:val="16"/>
        </w:rPr>
        <w:t>PRINCIPLE</w:t>
      </w:r>
    </w:p>
    <w:p w14:paraId="4E7E29B3"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Traditional platelet aggregometry, the reference method for testing platelet function, is based on the addition of the platelet agonist to a blood sample (usually platelet rich plasma). Platelet aggregation may be assessed using various agonists such as ADP, collagen and others. Arachidonic acid is a fatty acid which is liberated from the human platelets on activation and is converted by the enzyme cyclooxygenase into a potent inducer of platelet aggregation. Ingestion of aspirin or other similar drugs inhibits cyclooxygenase-1 (COX-1) thus inhibiting platelet aggregation. It has been reported that 5-60% of individuals taking aspirin are resistant to the effects of aspirin on the platelets.</w:t>
      </w:r>
      <w:r w:rsidRPr="00501F87">
        <w:rPr>
          <w:rFonts w:ascii="Arial MT Std" w:eastAsiaTheme="minorHAnsi" w:hAnsi="Arial MT Std" w:cs="Arial MT Std"/>
          <w:color w:val="000000"/>
          <w:spacing w:val="-1"/>
          <w:sz w:val="16"/>
          <w:szCs w:val="16"/>
          <w:vertAlign w:val="superscript"/>
        </w:rPr>
        <w:t>4,5</w:t>
      </w:r>
    </w:p>
    <w:p w14:paraId="591289D9"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methodology is an adaptation of platelet aggregometry that is extremely simple, inexpensive, and quick to perform (results are available in about five minutes). This two-step method involves using a cell counter to measure total platelet count in a whole blood sample and then to redetermine the platelet count on a second sample that has been exposed to a known platelet agonist. The agonist will stimulate those platelets which are functional to aggregate into clumps, and they will not be counted as platelets in the second sample. The difference in the platelet count between samples one and two provides a direct measurement of platelet aggregation and is reported as percent aggregation.</w:t>
      </w:r>
    </w:p>
    <w:p w14:paraId="373F3129" w14:textId="77777777" w:rsidR="00501F87" w:rsidRPr="00501F87" w:rsidRDefault="00501F87" w:rsidP="00501F87">
      <w:pPr>
        <w:widowControl/>
        <w:tabs>
          <w:tab w:val="left" w:pos="200"/>
        </w:tabs>
        <w:suppressAutoHyphens/>
        <w:adjustRightInd w:val="0"/>
        <w:spacing w:before="60"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Platelets rendered inactive or non-functional by aspirin or other inhibitors of cyclooxygenase-1 do not aggregate.</w:t>
      </w:r>
    </w:p>
    <w:p w14:paraId="0E4DB7E2"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Because of the differences in light transmission aggregometry in platelet rich plasma and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whole blood aggregation with arachidonic acid, cutoff values were used to evaluate test results. An aggregation of equal to or greater than 60% is considered normal aggregation and an aggregation of less than 60% is considered consistent with aspirin effect.</w:t>
      </w:r>
    </w:p>
    <w:p w14:paraId="5693FF3D"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b/>
          <w:bCs/>
          <w:caps/>
          <w:color w:val="000000"/>
          <w:spacing w:val="-1"/>
          <w:sz w:val="16"/>
          <w:szCs w:val="16"/>
        </w:rPr>
      </w:pPr>
      <w:r w:rsidRPr="00501F87">
        <w:rPr>
          <w:rFonts w:ascii="Arial MT Std" w:eastAsiaTheme="minorHAnsi" w:hAnsi="Arial MT Std" w:cs="Arial MT Std"/>
          <w:b/>
          <w:bCs/>
          <w:caps/>
          <w:color w:val="000000"/>
          <w:spacing w:val="-1"/>
          <w:sz w:val="16"/>
          <w:szCs w:val="16"/>
        </w:rPr>
        <w:t>REAGENTS</w:t>
      </w:r>
    </w:p>
    <w:p w14:paraId="06B3B276"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b/>
          <w:bCs/>
          <w:color w:val="000000"/>
          <w:spacing w:val="-1"/>
          <w:sz w:val="16"/>
          <w:szCs w:val="16"/>
        </w:rPr>
        <w:t>For In Vitro Diagnostic Use</w:t>
      </w:r>
    </w:p>
    <w:p w14:paraId="36D2108A"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Each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kit contains baseline tubes and agonist tubes. The tube contents are as follows:</w:t>
      </w:r>
    </w:p>
    <w:p w14:paraId="33D15666"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EDTA (baseline) tube: 24 µL containing 1.8 mg of K</w:t>
      </w:r>
      <w:r w:rsidRPr="00501F87">
        <w:rPr>
          <w:rFonts w:ascii="Arial MT Std" w:eastAsiaTheme="minorHAnsi" w:hAnsi="Arial MT Std" w:cs="Arial MT Std"/>
          <w:color w:val="000000"/>
          <w:spacing w:val="-1"/>
          <w:sz w:val="16"/>
          <w:szCs w:val="16"/>
          <w:vertAlign w:val="subscript"/>
        </w:rPr>
        <w:t>3</w:t>
      </w:r>
      <w:r w:rsidRPr="00501F87">
        <w:rPr>
          <w:rFonts w:ascii="Arial MT Std" w:eastAsiaTheme="minorHAnsi" w:hAnsi="Arial MT Std" w:cs="Arial MT Std"/>
          <w:color w:val="000000"/>
          <w:spacing w:val="-1"/>
          <w:sz w:val="16"/>
          <w:szCs w:val="16"/>
        </w:rPr>
        <w:t>EDTA (liquid)</w:t>
      </w:r>
    </w:p>
    <w:p w14:paraId="00EC5FD9" w14:textId="737BFAAE"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u w:val="thick" w:color="000000"/>
        </w:rPr>
      </w:pPr>
      <w:r w:rsidRPr="00501F87">
        <w:rPr>
          <w:rFonts w:ascii="Arial MT Std" w:eastAsiaTheme="minorHAnsi" w:hAnsi="Arial MT Std" w:cs="Arial MT Std"/>
          <w:color w:val="000000"/>
          <w:spacing w:val="-1"/>
          <w:sz w:val="16"/>
          <w:szCs w:val="16"/>
        </w:rPr>
        <w:t>• Arachidonic Acid tube (yellow top): 125 µg arachidonic acid, 3.2 mg sodium citrate, buffer salts, bovine serum albumin (lyophilized)</w:t>
      </w:r>
    </w:p>
    <w:p w14:paraId="0725C4AD"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b/>
          <w:bCs/>
          <w:color w:val="000000"/>
          <w:spacing w:val="-1"/>
          <w:sz w:val="16"/>
          <w:szCs w:val="16"/>
        </w:rPr>
        <w:t>Note:</w:t>
      </w:r>
      <w:r w:rsidRPr="00501F87">
        <w:rPr>
          <w:rFonts w:ascii="Arial MT Std" w:eastAsiaTheme="minorHAnsi" w:hAnsi="Arial MT Std" w:cs="Arial MT Std"/>
          <w:color w:val="000000"/>
          <w:spacing w:val="-1"/>
          <w:sz w:val="16"/>
          <w:szCs w:val="16"/>
        </w:rPr>
        <w:t xml:space="preserve"> All reagents are of non-human origin. </w:t>
      </w:r>
    </w:p>
    <w:p w14:paraId="4EF6E735"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b/>
          <w:bCs/>
          <w:color w:val="000000"/>
          <w:spacing w:val="-1"/>
          <w:sz w:val="16"/>
          <w:szCs w:val="16"/>
        </w:rPr>
        <w:t>Storage and Stability</w:t>
      </w:r>
    </w:p>
    <w:p w14:paraId="7110B0BC"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All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tubes should be stored at 2-8°C prior to use. When stored at 2-8°C, the tubes are stable until the marked expiration date. </w:t>
      </w:r>
    </w:p>
    <w:p w14:paraId="2859019A"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b/>
          <w:bCs/>
          <w:caps/>
          <w:color w:val="000000"/>
          <w:spacing w:val="-1"/>
          <w:sz w:val="16"/>
          <w:szCs w:val="16"/>
        </w:rPr>
      </w:pPr>
      <w:r w:rsidRPr="00501F87">
        <w:rPr>
          <w:rFonts w:ascii="Arial MT Std" w:eastAsiaTheme="minorHAnsi" w:hAnsi="Arial MT Std" w:cs="Arial MT Std"/>
          <w:b/>
          <w:bCs/>
          <w:caps/>
          <w:color w:val="000000"/>
          <w:spacing w:val="-1"/>
          <w:sz w:val="16"/>
          <w:szCs w:val="16"/>
        </w:rPr>
        <w:t>INSTRUMENT</w:t>
      </w:r>
    </w:p>
    <w:p w14:paraId="799F3A99"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tubes can be run on any hematology analyzer utilizing impedance methodology for determining platelet counts from whole blood. For detailed instructions, refer to the appropriate Operator’s Manual.</w:t>
      </w:r>
    </w:p>
    <w:p w14:paraId="6C97EEA0" w14:textId="77777777" w:rsidR="00501F87" w:rsidRPr="00501F87" w:rsidRDefault="00501F87" w:rsidP="00501F87">
      <w:pPr>
        <w:widowControl/>
        <w:tabs>
          <w:tab w:val="left" w:pos="200"/>
        </w:tabs>
        <w:suppressAutoHyphens/>
        <w:adjustRightInd w:val="0"/>
        <w:spacing w:before="60"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b/>
          <w:bCs/>
          <w:color w:val="000000"/>
          <w:spacing w:val="-1"/>
          <w:sz w:val="16"/>
          <w:szCs w:val="16"/>
        </w:rPr>
        <w:t>SPECIMEN COLLECTION AND PREPARATION</w:t>
      </w:r>
    </w:p>
    <w:p w14:paraId="1BAA5176"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Blood samples should be collected via routine method (i.e., indwelling catheter line, venipuncture, etc.). No anticoagulation of the blood is required. Samples should be drawn in a manner to prevent contamination with tissue thromboplastin, indwelling IV solutions, and other interfering substances. Blood collection guidelines are described in the CLSI Document GP41-Ed7, April 2017: "Collection of Diagnostic Venous Blood Specimens”.</w:t>
      </w:r>
    </w:p>
    <w:p w14:paraId="7003CD8B"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b/>
          <w:bCs/>
          <w:color w:val="000000"/>
          <w:spacing w:val="-1"/>
          <w:sz w:val="16"/>
          <w:szCs w:val="16"/>
        </w:rPr>
        <w:lastRenderedPageBreak/>
        <w:t>Venipuncture</w:t>
      </w:r>
    </w:p>
    <w:p w14:paraId="5CF137BE"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When using a venipuncture technique, needles of 22 to 19 gauge should be used to reduce the potential for platelet activation during specimen collection. For pediatric patients, a </w:t>
      </w:r>
      <w:proofErr w:type="gramStart"/>
      <w:r w:rsidRPr="00501F87">
        <w:rPr>
          <w:rFonts w:ascii="Arial MT Std" w:eastAsiaTheme="minorHAnsi" w:hAnsi="Arial MT Std" w:cs="Arial MT Std"/>
          <w:color w:val="000000"/>
          <w:spacing w:val="-1"/>
          <w:sz w:val="16"/>
          <w:szCs w:val="16"/>
        </w:rPr>
        <w:t>21 to 23 gauge</w:t>
      </w:r>
      <w:proofErr w:type="gramEnd"/>
      <w:r w:rsidRPr="00501F87">
        <w:rPr>
          <w:rFonts w:ascii="Arial MT Std" w:eastAsiaTheme="minorHAnsi" w:hAnsi="Arial MT Std" w:cs="Arial MT Std"/>
          <w:color w:val="000000"/>
          <w:spacing w:val="-1"/>
          <w:sz w:val="16"/>
          <w:szCs w:val="16"/>
        </w:rPr>
        <w:t xml:space="preserve"> needle may be used. Withdraw 2.0 cc of blood and discard it. Then collect a 2.5 cc sample of fresh whole blood for testing (1.0 cc for baseline tube and 1.0 cc for agonist tube). </w:t>
      </w:r>
    </w:p>
    <w:p w14:paraId="2CF463BE" w14:textId="77777777" w:rsidR="00501F87" w:rsidRPr="00501F87" w:rsidRDefault="00501F87" w:rsidP="00501F87">
      <w:pPr>
        <w:widowControl/>
        <w:tabs>
          <w:tab w:val="left" w:pos="200"/>
        </w:tabs>
        <w:suppressAutoHyphens/>
        <w:adjustRightInd w:val="0"/>
        <w:spacing w:before="60"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b/>
          <w:bCs/>
          <w:color w:val="000000"/>
          <w:spacing w:val="-1"/>
          <w:sz w:val="16"/>
          <w:szCs w:val="16"/>
        </w:rPr>
        <w:t>Extracorporeal Line</w:t>
      </w:r>
    </w:p>
    <w:p w14:paraId="36A34332"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b/>
          <w:bCs/>
          <w:color w:val="000000"/>
          <w:spacing w:val="-1"/>
          <w:sz w:val="16"/>
          <w:szCs w:val="16"/>
        </w:rPr>
      </w:pPr>
      <w:r w:rsidRPr="00501F87">
        <w:rPr>
          <w:rFonts w:ascii="Arial MT Std" w:eastAsiaTheme="minorHAnsi" w:hAnsi="Arial MT Std" w:cs="Arial MT Std"/>
          <w:color w:val="000000"/>
          <w:spacing w:val="-1"/>
          <w:sz w:val="16"/>
          <w:szCs w:val="16"/>
        </w:rPr>
        <w:t>Using a two-syringe technique, flush the extracorporeal blood access line by withdrawing 2.0 cc of blood into a syringe and discarding it. Then use a second syringe to obtain a 2.5 cc sample of fresh whole blood for testing (1.0 cc for baseline tube and 1.0 cc for agonist tube).</w:t>
      </w:r>
    </w:p>
    <w:p w14:paraId="3055A078" w14:textId="77777777" w:rsidR="00501F87" w:rsidRPr="00501F87" w:rsidRDefault="00501F87" w:rsidP="00501F87">
      <w:pPr>
        <w:widowControl/>
        <w:tabs>
          <w:tab w:val="left" w:pos="200"/>
        </w:tabs>
        <w:suppressAutoHyphens/>
        <w:adjustRightInd w:val="0"/>
        <w:spacing w:before="60"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b/>
          <w:bCs/>
          <w:color w:val="000000"/>
          <w:spacing w:val="-1"/>
          <w:sz w:val="16"/>
          <w:szCs w:val="16"/>
        </w:rPr>
        <w:t>Indwelling Catheter Line</w:t>
      </w:r>
    </w:p>
    <w:p w14:paraId="5FF9E41F"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Discontinue fluids drip, if necessary, and flush the line with 5 mL saline. Using a two-syringe technique, withdraw 2.0 cc of blood into a syringe and discard it. Then use a second syringe to obtain a 2.5 cc sample of fresh whole blood for testing (1.0 cc for baseline tube and 1.0 cc for agonist tube).</w:t>
      </w:r>
    </w:p>
    <w:p w14:paraId="10B172E0"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color w:val="000000"/>
          <w:spacing w:val="-1"/>
          <w:sz w:val="16"/>
          <w:szCs w:val="16"/>
          <w:u w:val="thick" w:color="000000"/>
        </w:rPr>
      </w:pPr>
      <w:r w:rsidRPr="00501F87">
        <w:rPr>
          <w:rFonts w:ascii="Arial MT Std" w:eastAsiaTheme="minorHAnsi" w:hAnsi="Arial MT Std" w:cs="Arial MT Std"/>
          <w:b/>
          <w:bCs/>
          <w:color w:val="000000"/>
          <w:spacing w:val="-1"/>
          <w:sz w:val="16"/>
          <w:szCs w:val="16"/>
        </w:rPr>
        <w:t>NOTE:</w:t>
      </w:r>
      <w:r w:rsidRPr="00501F87">
        <w:rPr>
          <w:rFonts w:ascii="Arial MT Std" w:eastAsiaTheme="minorHAnsi" w:hAnsi="Arial MT Std" w:cs="Arial MT Std"/>
          <w:color w:val="000000"/>
          <w:spacing w:val="-1"/>
          <w:sz w:val="16"/>
          <w:szCs w:val="16"/>
        </w:rPr>
        <w:t xml:space="preserve"> The appropriate amount of blood from the hypodermic needle/syringe must be added to the EDTA and agonist tubes within one minute after completion of the draw. The agonist tube should be tested within ten minutes after sample addition to the tube.</w:t>
      </w:r>
    </w:p>
    <w:p w14:paraId="0290A749"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b/>
          <w:bCs/>
          <w:caps/>
          <w:color w:val="000000"/>
          <w:spacing w:val="-1"/>
          <w:sz w:val="16"/>
          <w:szCs w:val="16"/>
        </w:rPr>
      </w:pPr>
      <w:r w:rsidRPr="00501F87">
        <w:rPr>
          <w:rFonts w:ascii="Arial MT Std" w:eastAsiaTheme="minorHAnsi" w:hAnsi="Arial MT Std" w:cs="Arial MT Std"/>
          <w:b/>
          <w:bCs/>
          <w:caps/>
          <w:color w:val="000000"/>
          <w:spacing w:val="-1"/>
          <w:sz w:val="16"/>
          <w:szCs w:val="16"/>
        </w:rPr>
        <w:t>PROCEDURE</w:t>
      </w:r>
    </w:p>
    <w:p w14:paraId="026E5FEF"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b/>
          <w:bCs/>
          <w:color w:val="000000"/>
          <w:spacing w:val="-1"/>
          <w:sz w:val="16"/>
          <w:szCs w:val="16"/>
        </w:rPr>
      </w:pPr>
      <w:r w:rsidRPr="00501F87">
        <w:rPr>
          <w:rFonts w:ascii="Arial MT Std" w:eastAsiaTheme="minorHAnsi" w:hAnsi="Arial MT Std" w:cs="Arial MT Std"/>
          <w:b/>
          <w:bCs/>
          <w:color w:val="000000"/>
          <w:spacing w:val="-1"/>
          <w:sz w:val="16"/>
          <w:szCs w:val="16"/>
        </w:rPr>
        <w:t>Materials Provided</w:t>
      </w:r>
    </w:p>
    <w:p w14:paraId="5F630115"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Kit includes agonist tubes, baseline tubes and a % Aggregation/Inhibition chart. A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Aggregation/Inhibition Calculation Wheel (584) is also available upon request.</w:t>
      </w:r>
    </w:p>
    <w:p w14:paraId="742D6860" w14:textId="77777777" w:rsidR="00501F87" w:rsidRPr="00501F87" w:rsidRDefault="00501F87" w:rsidP="00501F87">
      <w:pPr>
        <w:widowControl/>
        <w:tabs>
          <w:tab w:val="left" w:pos="200"/>
          <w:tab w:val="left" w:pos="360"/>
          <w:tab w:val="left" w:pos="580"/>
        </w:tabs>
        <w:adjustRightInd w:val="0"/>
        <w:spacing w:before="40" w:line="288" w:lineRule="auto"/>
        <w:jc w:val="both"/>
        <w:textAlignment w:val="center"/>
        <w:rPr>
          <w:rFonts w:ascii="Arial MT Std" w:eastAsiaTheme="minorHAnsi" w:hAnsi="Arial MT Std" w:cs="Arial MT Std"/>
          <w:b/>
          <w:bCs/>
          <w:color w:val="000000"/>
          <w:sz w:val="16"/>
          <w:szCs w:val="16"/>
        </w:rPr>
      </w:pPr>
      <w:r w:rsidRPr="00501F87">
        <w:rPr>
          <w:rFonts w:ascii="Arial MT Std" w:eastAsiaTheme="minorHAnsi" w:hAnsi="Arial MT Std" w:cs="Arial MT Std"/>
          <w:b/>
          <w:bCs/>
          <w:color w:val="000000"/>
          <w:sz w:val="16"/>
          <w:szCs w:val="16"/>
        </w:rPr>
        <w:t>Cat. No.</w:t>
      </w:r>
      <w:r w:rsidRPr="00501F87">
        <w:rPr>
          <w:rFonts w:ascii="Arial MT Std" w:eastAsiaTheme="minorHAnsi" w:hAnsi="Arial MT Std" w:cs="Arial MT Std"/>
          <w:b/>
          <w:bCs/>
          <w:color w:val="000000"/>
          <w:sz w:val="16"/>
          <w:szCs w:val="16"/>
        </w:rPr>
        <w:tab/>
        <w:t>Contents</w:t>
      </w:r>
    </w:p>
    <w:p w14:paraId="0D0A16B3" w14:textId="77777777" w:rsidR="00501F87" w:rsidRPr="00501F87" w:rsidRDefault="00501F87" w:rsidP="00501F87">
      <w:pPr>
        <w:widowControl/>
        <w:tabs>
          <w:tab w:val="left" w:pos="200"/>
          <w:tab w:val="left" w:pos="380"/>
          <w:tab w:val="left" w:pos="560"/>
          <w:tab w:val="left" w:pos="1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5864</w:t>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Arachidonic Acid Kit</w:t>
      </w:r>
    </w:p>
    <w:p w14:paraId="57159330" w14:textId="77777777" w:rsidR="00501F87" w:rsidRPr="00501F87" w:rsidRDefault="00501F87" w:rsidP="00501F87">
      <w:pPr>
        <w:widowControl/>
        <w:tabs>
          <w:tab w:val="left" w:pos="200"/>
          <w:tab w:val="left" w:pos="380"/>
          <w:tab w:val="left" w:pos="560"/>
          <w:tab w:val="left" w:pos="1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t>25 AA Tubes</w:t>
      </w:r>
    </w:p>
    <w:p w14:paraId="71BC812F" w14:textId="77777777" w:rsidR="00501F87" w:rsidRPr="00501F87" w:rsidRDefault="00501F87" w:rsidP="00501F87">
      <w:pPr>
        <w:widowControl/>
        <w:tabs>
          <w:tab w:val="left" w:pos="200"/>
          <w:tab w:val="left" w:pos="380"/>
          <w:tab w:val="left" w:pos="560"/>
          <w:tab w:val="left" w:pos="1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t>25 EDTA Tubes</w:t>
      </w:r>
    </w:p>
    <w:p w14:paraId="67B4E5BA" w14:textId="77777777" w:rsidR="00501F87" w:rsidRPr="00501F87" w:rsidRDefault="00501F87" w:rsidP="00501F87">
      <w:pPr>
        <w:widowControl/>
        <w:tabs>
          <w:tab w:val="left" w:pos="200"/>
          <w:tab w:val="left" w:pos="380"/>
          <w:tab w:val="left" w:pos="560"/>
          <w:tab w:val="left" w:pos="1200"/>
        </w:tabs>
        <w:suppressAutoHyphens/>
        <w:adjustRightInd w:val="0"/>
        <w:spacing w:before="60"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5854</w:t>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Combo - 10 Kit</w:t>
      </w:r>
    </w:p>
    <w:p w14:paraId="21DE01F0" w14:textId="77777777" w:rsidR="00501F87" w:rsidRPr="00501F87" w:rsidRDefault="00501F87" w:rsidP="00501F87">
      <w:pPr>
        <w:widowControl/>
        <w:tabs>
          <w:tab w:val="left" w:pos="200"/>
          <w:tab w:val="left" w:pos="380"/>
          <w:tab w:val="left" w:pos="560"/>
          <w:tab w:val="left" w:pos="1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t>10 AA Tubes</w:t>
      </w:r>
    </w:p>
    <w:p w14:paraId="5CFD2735" w14:textId="77777777" w:rsidR="00501F87" w:rsidRPr="00501F87" w:rsidRDefault="00501F87" w:rsidP="00501F87">
      <w:pPr>
        <w:widowControl/>
        <w:tabs>
          <w:tab w:val="left" w:pos="200"/>
          <w:tab w:val="left" w:pos="380"/>
          <w:tab w:val="left" w:pos="560"/>
          <w:tab w:val="left" w:pos="1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t>10 ADP Tubes</w:t>
      </w:r>
    </w:p>
    <w:p w14:paraId="76D5FFFB" w14:textId="77777777" w:rsidR="00501F87" w:rsidRPr="00501F87" w:rsidRDefault="00501F87" w:rsidP="00501F87">
      <w:pPr>
        <w:widowControl/>
        <w:tabs>
          <w:tab w:val="left" w:pos="200"/>
          <w:tab w:val="left" w:pos="380"/>
          <w:tab w:val="left" w:pos="560"/>
          <w:tab w:val="left" w:pos="1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t>10 Collagen Tubes</w:t>
      </w:r>
    </w:p>
    <w:p w14:paraId="0ACA3753" w14:textId="77777777" w:rsidR="00501F87" w:rsidRPr="00501F87" w:rsidRDefault="00501F87" w:rsidP="00501F87">
      <w:pPr>
        <w:widowControl/>
        <w:tabs>
          <w:tab w:val="left" w:pos="200"/>
          <w:tab w:val="left" w:pos="380"/>
          <w:tab w:val="left" w:pos="560"/>
          <w:tab w:val="left" w:pos="1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t>10 EDTA Tubes</w:t>
      </w:r>
    </w:p>
    <w:p w14:paraId="0AB91770" w14:textId="77777777" w:rsidR="00501F87" w:rsidRPr="00501F87" w:rsidRDefault="00501F87" w:rsidP="00501F87">
      <w:pPr>
        <w:widowControl/>
        <w:tabs>
          <w:tab w:val="left" w:pos="200"/>
          <w:tab w:val="left" w:pos="360"/>
        </w:tabs>
        <w:adjustRightInd w:val="0"/>
        <w:spacing w:before="40" w:line="288" w:lineRule="auto"/>
        <w:jc w:val="both"/>
        <w:textAlignment w:val="center"/>
        <w:rPr>
          <w:rFonts w:ascii="Arial MT Std" w:eastAsiaTheme="minorHAnsi" w:hAnsi="Arial MT Std" w:cs="Arial MT Std"/>
          <w:color w:val="000000"/>
          <w:sz w:val="16"/>
          <w:szCs w:val="16"/>
        </w:rPr>
      </w:pPr>
      <w:r w:rsidRPr="00501F87">
        <w:rPr>
          <w:rFonts w:ascii="Arial MT Std" w:eastAsiaTheme="minorHAnsi" w:hAnsi="Arial MT Std" w:cs="Arial MT Std"/>
          <w:b/>
          <w:bCs/>
          <w:color w:val="000000"/>
          <w:sz w:val="16"/>
          <w:szCs w:val="16"/>
        </w:rPr>
        <w:t>Materials Required but Not Provided</w:t>
      </w:r>
    </w:p>
    <w:p w14:paraId="79C4E492"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Impedance cell counter</w:t>
      </w:r>
    </w:p>
    <w:p w14:paraId="1181C0C9"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Blood collection materials (syringes, blood collection set, etc.)</w:t>
      </w:r>
    </w:p>
    <w:p w14:paraId="39CD895B" w14:textId="77777777" w:rsidR="00501F87" w:rsidRPr="00501F87" w:rsidRDefault="00501F87" w:rsidP="00501F87">
      <w:pPr>
        <w:widowControl/>
        <w:tabs>
          <w:tab w:val="left" w:pos="200"/>
          <w:tab w:val="left" w:pos="360"/>
        </w:tabs>
        <w:adjustRightInd w:val="0"/>
        <w:spacing w:before="40" w:line="288" w:lineRule="auto"/>
        <w:jc w:val="both"/>
        <w:textAlignment w:val="center"/>
        <w:rPr>
          <w:rFonts w:ascii="Arial MT Std" w:eastAsiaTheme="minorHAnsi" w:hAnsi="Arial MT Std" w:cs="Arial MT Std"/>
          <w:b/>
          <w:bCs/>
          <w:color w:val="000000"/>
          <w:sz w:val="16"/>
          <w:szCs w:val="16"/>
        </w:rPr>
      </w:pPr>
      <w:r w:rsidRPr="00501F87">
        <w:rPr>
          <w:rFonts w:ascii="Arial MT Std" w:eastAsiaTheme="minorHAnsi" w:hAnsi="Arial MT Std" w:cs="Arial MT Std"/>
          <w:b/>
          <w:bCs/>
          <w:color w:val="000000"/>
          <w:sz w:val="16"/>
          <w:szCs w:val="16"/>
        </w:rPr>
        <w:t>Step-by-Step Method</w:t>
      </w:r>
    </w:p>
    <w:p w14:paraId="1D1B3397"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b/>
          <w:bCs/>
          <w:color w:val="000000"/>
          <w:spacing w:val="-1"/>
          <w:sz w:val="16"/>
          <w:szCs w:val="16"/>
        </w:rPr>
        <w:t xml:space="preserve">Note: </w:t>
      </w:r>
      <w:r w:rsidRPr="00501F87">
        <w:rPr>
          <w:rFonts w:ascii="Arial MT Std" w:eastAsiaTheme="minorHAnsi" w:hAnsi="Arial MT Std" w:cs="Arial MT Std"/>
          <w:color w:val="000000"/>
          <w:spacing w:val="-1"/>
          <w:sz w:val="16"/>
          <w:szCs w:val="16"/>
        </w:rPr>
        <w:t xml:space="preserve">Allow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tubes to equilibrate to room temperature (20-24°C) before adding sample.</w:t>
      </w:r>
    </w:p>
    <w:p w14:paraId="3796DEEE" w14:textId="764CD839"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1.</w:t>
      </w:r>
      <w:r w:rsidRPr="00501F87">
        <w:rPr>
          <w:rFonts w:ascii="Arial MT Std" w:eastAsiaTheme="minorHAnsi" w:hAnsi="Arial MT Std" w:cs="Arial MT Std"/>
          <w:color w:val="000000"/>
          <w:spacing w:val="-1"/>
          <w:sz w:val="16"/>
          <w:szCs w:val="16"/>
        </w:rPr>
        <w:tab/>
        <w:t>Obtain the desired fresh whole blood sample. A 1.0 cc whole blood sample is required for each agonist tube and each baseline tube.</w:t>
      </w:r>
    </w:p>
    <w:p w14:paraId="31F31758" w14:textId="7D0FFC03"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2.</w:t>
      </w:r>
      <w:r w:rsidRPr="00501F87">
        <w:rPr>
          <w:rFonts w:ascii="Arial MT Std" w:eastAsiaTheme="minorHAnsi" w:hAnsi="Arial MT Std" w:cs="Arial MT Std"/>
          <w:color w:val="000000"/>
          <w:spacing w:val="-1"/>
          <w:sz w:val="16"/>
          <w:szCs w:val="16"/>
        </w:rPr>
        <w:tab/>
        <w:t>Immediately dispense 1.0 cc of blood into each of the baseline tube and the agonist tube.</w:t>
      </w:r>
    </w:p>
    <w:p w14:paraId="55D35E5D" w14:textId="69440249"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3.</w:t>
      </w:r>
      <w:r w:rsidRPr="00501F87">
        <w:rPr>
          <w:rFonts w:ascii="Arial MT Std" w:eastAsiaTheme="minorHAnsi" w:hAnsi="Arial MT Std" w:cs="Arial MT Std"/>
          <w:color w:val="000000"/>
          <w:spacing w:val="-1"/>
          <w:sz w:val="16"/>
          <w:szCs w:val="16"/>
        </w:rPr>
        <w:tab/>
        <w:t xml:space="preserve">Mix each tube (baseline and agonist) </w:t>
      </w:r>
      <w:r w:rsidRPr="00501F87">
        <w:rPr>
          <w:rFonts w:ascii="Arial MT Std" w:eastAsiaTheme="minorHAnsi" w:hAnsi="Arial MT Std" w:cs="Arial MT Std"/>
          <w:b/>
          <w:bCs/>
          <w:color w:val="000000"/>
          <w:spacing w:val="-1"/>
          <w:sz w:val="16"/>
          <w:szCs w:val="16"/>
        </w:rPr>
        <w:t>vigorously</w:t>
      </w:r>
      <w:r w:rsidRPr="00501F87">
        <w:rPr>
          <w:rFonts w:ascii="Arial MT Std" w:eastAsiaTheme="minorHAnsi" w:hAnsi="Arial MT Std" w:cs="Arial MT Std"/>
          <w:color w:val="000000"/>
          <w:spacing w:val="-1"/>
          <w:sz w:val="16"/>
          <w:szCs w:val="16"/>
        </w:rPr>
        <w:t xml:space="preserve"> 15 to 20 times to ensure adequate mixing.</w:t>
      </w:r>
    </w:p>
    <w:p w14:paraId="28D7F5FF" w14:textId="7118ACD1"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4.</w:t>
      </w:r>
      <w:r w:rsidRPr="00501F87">
        <w:rPr>
          <w:rFonts w:ascii="Arial MT Std" w:eastAsiaTheme="minorHAnsi" w:hAnsi="Arial MT Std" w:cs="Arial MT Std"/>
          <w:color w:val="000000"/>
          <w:spacing w:val="-1"/>
          <w:sz w:val="16"/>
          <w:szCs w:val="16"/>
        </w:rPr>
        <w:tab/>
        <w:t>The baseline tube is then run on the cell counter, recording the platelet count.</w:t>
      </w:r>
    </w:p>
    <w:p w14:paraId="0004F3CF" w14:textId="5AAAC942"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5.</w:t>
      </w:r>
      <w:r w:rsidRPr="00501F87">
        <w:rPr>
          <w:rFonts w:ascii="Arial MT Std" w:eastAsiaTheme="minorHAnsi" w:hAnsi="Arial MT Std" w:cs="Arial MT Std"/>
          <w:color w:val="000000"/>
          <w:spacing w:val="-1"/>
          <w:sz w:val="16"/>
          <w:szCs w:val="16"/>
        </w:rPr>
        <w:tab/>
        <w:t>Continue to mix the AA tube by holding it in the hand and inverting it gently every 8-10 seconds for 2 minutes. Place the tube in a rack and allow to stand for 5 to 8 minutes.</w:t>
      </w:r>
    </w:p>
    <w:p w14:paraId="5909FA34" w14:textId="64F7C23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6.</w:t>
      </w:r>
      <w:r w:rsidRPr="00501F87">
        <w:rPr>
          <w:rFonts w:ascii="Arial MT Std" w:eastAsiaTheme="minorHAnsi" w:hAnsi="Arial MT Std" w:cs="Arial MT Std"/>
          <w:color w:val="000000"/>
          <w:spacing w:val="-1"/>
          <w:sz w:val="16"/>
          <w:szCs w:val="16"/>
        </w:rPr>
        <w:tab/>
        <w:t>The AA Tube is then inverted gently 2 times to mix. Place the tube in the cell counter and record the platelet count.</w:t>
      </w:r>
    </w:p>
    <w:p w14:paraId="6ED08AF6"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2"/>
          <w:sz w:val="16"/>
          <w:szCs w:val="16"/>
        </w:rPr>
        <w:tab/>
      </w:r>
      <w:r w:rsidRPr="00501F87">
        <w:rPr>
          <w:rFonts w:ascii="Arial MT Std" w:eastAsiaTheme="minorHAnsi" w:hAnsi="Arial MT Std" w:cs="Arial MT Std"/>
          <w:color w:val="000000"/>
          <w:spacing w:val="-2"/>
          <w:sz w:val="16"/>
          <w:szCs w:val="16"/>
        </w:rPr>
        <w:br/>
        <w:t>Note: If running AA tube as part of the Combo Kit, count the baseline tube, then the ADP, the Collagen tube and last the Arachidonic Acid tube. All counts can be completed in 10 minutes.</w:t>
      </w:r>
    </w:p>
    <w:p w14:paraId="516FE08C" w14:textId="0FE29EA3"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7.</w:t>
      </w:r>
      <w:r w:rsidRPr="00501F87">
        <w:rPr>
          <w:rFonts w:ascii="Arial MT Std" w:eastAsiaTheme="minorHAnsi" w:hAnsi="Arial MT Std" w:cs="Arial MT Std"/>
          <w:color w:val="000000"/>
          <w:spacing w:val="-1"/>
          <w:sz w:val="16"/>
          <w:szCs w:val="16"/>
        </w:rPr>
        <w:tab/>
        <w:t>The percent platelet aggregation is then calculated</w:t>
      </w:r>
    </w:p>
    <w:p w14:paraId="4C064B54" w14:textId="03EC80DA"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a) from the % Aggregation/Inhibition Chart supplied in the packaged tubes, or</w:t>
      </w:r>
    </w:p>
    <w:p w14:paraId="2884A1A5"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 xml:space="preserve">b) using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Calculation Wheel.</w:t>
      </w:r>
    </w:p>
    <w:p w14:paraId="0339FF67"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c) calculated by the appropriate formula.</w:t>
      </w:r>
    </w:p>
    <w:p w14:paraId="6307B854"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b/>
          <w:bCs/>
          <w:color w:val="000000"/>
          <w:spacing w:val="-1"/>
          <w:sz w:val="16"/>
          <w:szCs w:val="16"/>
        </w:rPr>
      </w:pPr>
      <w:r w:rsidRPr="00501F87">
        <w:rPr>
          <w:rFonts w:ascii="Arial MT Std" w:eastAsiaTheme="minorHAnsi" w:hAnsi="Arial MT Std" w:cs="Arial MT Std"/>
          <w:b/>
          <w:bCs/>
          <w:color w:val="000000"/>
          <w:spacing w:val="-1"/>
          <w:sz w:val="16"/>
          <w:szCs w:val="16"/>
        </w:rPr>
        <w:t xml:space="preserve">          Baseline Platelet - Agonist Platelet</w:t>
      </w:r>
    </w:p>
    <w:p w14:paraId="3A376B46"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b/>
          <w:bCs/>
          <w:color w:val="000000"/>
          <w:spacing w:val="-1"/>
          <w:sz w:val="16"/>
          <w:szCs w:val="16"/>
        </w:rPr>
        <w:t xml:space="preserve">                    Count                    </w:t>
      </w:r>
      <w:proofErr w:type="spellStart"/>
      <w:r w:rsidRPr="00501F87">
        <w:rPr>
          <w:rFonts w:ascii="Arial MT Std" w:eastAsiaTheme="minorHAnsi" w:hAnsi="Arial MT Std" w:cs="Arial MT Std"/>
          <w:b/>
          <w:bCs/>
          <w:color w:val="000000"/>
          <w:spacing w:val="-1"/>
          <w:sz w:val="16"/>
          <w:szCs w:val="16"/>
        </w:rPr>
        <w:t>Count</w:t>
      </w:r>
      <w:proofErr w:type="spellEnd"/>
    </w:p>
    <w:p w14:paraId="7B1B3777"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5"/>
          <w:sz w:val="16"/>
          <w:szCs w:val="16"/>
        </w:rPr>
        <w:t xml:space="preserve">             _______________________________</w:t>
      </w:r>
      <w:r w:rsidRPr="00501F87">
        <w:rPr>
          <w:rFonts w:ascii="Arial MT Std" w:eastAsiaTheme="minorHAnsi" w:hAnsi="Arial MT Std" w:cs="Arial MT Std"/>
          <w:color w:val="000000"/>
          <w:spacing w:val="-1"/>
          <w:sz w:val="16"/>
          <w:szCs w:val="16"/>
        </w:rPr>
        <w:t xml:space="preserve">   </w:t>
      </w:r>
      <w:r w:rsidRPr="00501F87">
        <w:rPr>
          <w:rFonts w:ascii="Arial MT Std" w:eastAsiaTheme="minorHAnsi" w:hAnsi="Arial MT Std" w:cs="Arial MT Std"/>
          <w:b/>
          <w:bCs/>
          <w:color w:val="000000"/>
          <w:spacing w:val="-1"/>
          <w:sz w:val="16"/>
          <w:szCs w:val="16"/>
        </w:rPr>
        <w:t>X 100 = % Aggregation</w:t>
      </w:r>
    </w:p>
    <w:p w14:paraId="5E2BC4AB"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b/>
          <w:bCs/>
          <w:color w:val="000000"/>
          <w:spacing w:val="-1"/>
          <w:sz w:val="16"/>
          <w:szCs w:val="16"/>
        </w:rPr>
        <w:t xml:space="preserve">                   Baseline Platelet Count</w:t>
      </w:r>
    </w:p>
    <w:p w14:paraId="5024B873" w14:textId="77777777" w:rsidR="00501F87" w:rsidRPr="00501F87" w:rsidRDefault="00501F87" w:rsidP="00501F87">
      <w:pPr>
        <w:widowControl/>
        <w:tabs>
          <w:tab w:val="left" w:pos="200"/>
          <w:tab w:val="left" w:pos="360"/>
        </w:tabs>
        <w:adjustRightInd w:val="0"/>
        <w:spacing w:before="40" w:line="288" w:lineRule="auto"/>
        <w:jc w:val="both"/>
        <w:textAlignment w:val="center"/>
        <w:rPr>
          <w:rFonts w:ascii="Arial MT Std" w:eastAsiaTheme="minorHAnsi" w:hAnsi="Arial MT Std" w:cs="Arial MT Std"/>
          <w:b/>
          <w:bCs/>
          <w:color w:val="000000"/>
          <w:sz w:val="16"/>
          <w:szCs w:val="16"/>
        </w:rPr>
      </w:pPr>
      <w:r w:rsidRPr="00501F87">
        <w:rPr>
          <w:rFonts w:ascii="Arial MT Std" w:eastAsiaTheme="minorHAnsi" w:hAnsi="Arial MT Std" w:cs="Arial MT Std"/>
          <w:b/>
          <w:bCs/>
          <w:color w:val="000000"/>
          <w:sz w:val="16"/>
          <w:szCs w:val="16"/>
        </w:rPr>
        <w:t xml:space="preserve">Quality Control </w:t>
      </w:r>
    </w:p>
    <w:p w14:paraId="2BC4F5EF"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Quality control testing of the cell counter used to perform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assay should be completed during each shift the system is used. These results will ensure that the instrument is functioning properly.</w:t>
      </w:r>
    </w:p>
    <w:p w14:paraId="3E1BA9B7"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It is suggested that each laboratory establish its own normal range. No commercial controls for platelet aggregation testing are available. Blood drawn from healthy adults may be used as normal controls for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assay. These individuals must be free from any medication known to affect platelet function for a minimum of 7 to 9 days and should have prior platelet aggregation tests that fall within the normal range established by the laboratory. If the first normal control value is outside the normal reference interval, a second normal control should be run. If the second normal control value is also outside the normal reference interval, the assay should be considered out of control and no testing should be performed. In this case, contact Helena’s Technical Support for assistance.</w:t>
      </w:r>
    </w:p>
    <w:p w14:paraId="464AADCB"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b/>
          <w:bCs/>
          <w:caps/>
          <w:color w:val="000000"/>
          <w:spacing w:val="-1"/>
          <w:sz w:val="16"/>
          <w:szCs w:val="16"/>
        </w:rPr>
      </w:pPr>
      <w:r w:rsidRPr="00501F87">
        <w:rPr>
          <w:rFonts w:ascii="Arial MT Std" w:eastAsiaTheme="minorHAnsi" w:hAnsi="Arial MT Std" w:cs="Arial MT Std"/>
          <w:b/>
          <w:bCs/>
          <w:caps/>
          <w:color w:val="000000"/>
          <w:spacing w:val="-1"/>
          <w:sz w:val="16"/>
          <w:szCs w:val="16"/>
        </w:rPr>
        <w:t>REFERENCE VALUES</w:t>
      </w:r>
    </w:p>
    <w:p w14:paraId="39FA1632"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The reference value for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AA agonist tube was determined on samples collected from healthy volunteers. Each laboratory should establish their own reference range with their normal patient population.</w:t>
      </w:r>
      <w:r w:rsidRPr="00501F87">
        <w:rPr>
          <w:rFonts w:ascii="Arial MT Std" w:eastAsiaTheme="minorHAnsi" w:hAnsi="Arial MT Std" w:cs="Arial MT Std"/>
          <w:color w:val="000000"/>
          <w:spacing w:val="-1"/>
          <w:sz w:val="16"/>
          <w:szCs w:val="16"/>
          <w:vertAlign w:val="superscript"/>
        </w:rPr>
        <w:t>6</w:t>
      </w:r>
      <w:r w:rsidRPr="00501F87">
        <w:rPr>
          <w:rFonts w:ascii="Arial MT Std" w:eastAsiaTheme="minorHAnsi" w:hAnsi="Arial MT Std" w:cs="Arial MT Std"/>
          <w:color w:val="000000"/>
          <w:spacing w:val="-1"/>
          <w:sz w:val="16"/>
          <w:szCs w:val="16"/>
        </w:rPr>
        <w:t xml:space="preserve"> The data are as follows:</w:t>
      </w:r>
    </w:p>
    <w:p w14:paraId="4A3240A6" w14:textId="77777777" w:rsidR="00501F87" w:rsidRPr="00501F87" w:rsidRDefault="00501F87" w:rsidP="00501F87">
      <w:pPr>
        <w:widowControl/>
        <w:pBdr>
          <w:bottom w:val="single" w:sz="4" w:space="2" w:color="000000"/>
        </w:pBdr>
        <w:tabs>
          <w:tab w:val="left" w:pos="200"/>
          <w:tab w:val="left" w:pos="380"/>
          <w:tab w:val="left" w:pos="660"/>
          <w:tab w:val="left" w:pos="1360"/>
        </w:tabs>
        <w:suppressAutoHyphens/>
        <w:adjustRightInd w:val="0"/>
        <w:spacing w:before="39" w:line="288" w:lineRule="auto"/>
        <w:textAlignment w:val="center"/>
        <w:rPr>
          <w:rFonts w:ascii="Arial MT Std" w:eastAsiaTheme="minorHAnsi" w:hAnsi="Arial MT Std" w:cs="Arial MT Std"/>
          <w:color w:val="000000"/>
          <w:spacing w:val="-1"/>
          <w:w w:val="102"/>
          <w:sz w:val="16"/>
          <w:szCs w:val="16"/>
        </w:rPr>
      </w:pPr>
      <w:r w:rsidRPr="00501F87">
        <w:rPr>
          <w:rFonts w:ascii="Arial MT Std" w:eastAsiaTheme="minorHAnsi" w:hAnsi="Arial MT Std" w:cs="Arial MT Std"/>
          <w:b/>
          <w:bCs/>
          <w:color w:val="000000"/>
          <w:spacing w:val="-1"/>
          <w:w w:val="102"/>
          <w:sz w:val="16"/>
          <w:szCs w:val="16"/>
          <w:u w:color="000000"/>
        </w:rPr>
        <w:tab/>
      </w:r>
      <w:r w:rsidRPr="00501F87">
        <w:rPr>
          <w:rFonts w:ascii="Arial MT Std" w:eastAsiaTheme="minorHAnsi" w:hAnsi="Arial MT Std" w:cs="Arial MT Std"/>
          <w:b/>
          <w:bCs/>
          <w:color w:val="000000"/>
          <w:spacing w:val="-1"/>
          <w:w w:val="102"/>
          <w:sz w:val="16"/>
          <w:szCs w:val="16"/>
          <w:u w:color="000000"/>
        </w:rPr>
        <w:tab/>
      </w:r>
      <w:r w:rsidRPr="00501F87">
        <w:rPr>
          <w:rFonts w:ascii="Arial MT Std" w:eastAsiaTheme="minorHAnsi" w:hAnsi="Arial MT Std" w:cs="Arial MT Std"/>
          <w:b/>
          <w:bCs/>
          <w:color w:val="000000"/>
          <w:spacing w:val="-1"/>
          <w:w w:val="102"/>
          <w:sz w:val="16"/>
          <w:szCs w:val="16"/>
          <w:u w:color="000000"/>
        </w:rPr>
        <w:tab/>
        <w:t>Agonist</w:t>
      </w:r>
      <w:r w:rsidRPr="00501F87">
        <w:rPr>
          <w:rFonts w:ascii="Arial MT Std" w:eastAsiaTheme="minorHAnsi" w:hAnsi="Arial MT Std" w:cs="Arial MT Std"/>
          <w:color w:val="000000"/>
          <w:spacing w:val="-1"/>
          <w:w w:val="102"/>
          <w:sz w:val="16"/>
          <w:szCs w:val="16"/>
          <w:u w:color="000000"/>
        </w:rPr>
        <w:tab/>
      </w:r>
      <w:r w:rsidRPr="00501F87">
        <w:rPr>
          <w:rFonts w:ascii="Arial MT Std" w:eastAsiaTheme="minorHAnsi" w:hAnsi="Arial MT Std" w:cs="Arial MT Std"/>
          <w:b/>
          <w:bCs/>
          <w:color w:val="000000"/>
          <w:spacing w:val="-1"/>
          <w:w w:val="102"/>
          <w:sz w:val="16"/>
          <w:szCs w:val="16"/>
          <w:u w:color="000000"/>
        </w:rPr>
        <w:t>Reference Range</w:t>
      </w:r>
    </w:p>
    <w:p w14:paraId="04E6FAE6" w14:textId="77777777" w:rsidR="00501F87" w:rsidRPr="00501F87" w:rsidRDefault="00501F87" w:rsidP="00501F87">
      <w:pPr>
        <w:widowControl/>
        <w:tabs>
          <w:tab w:val="left" w:pos="200"/>
          <w:tab w:val="left" w:pos="380"/>
          <w:tab w:val="left" w:pos="660"/>
          <w:tab w:val="left" w:pos="1360"/>
        </w:tabs>
        <w:suppressAutoHyphens/>
        <w:adjustRightInd w:val="0"/>
        <w:spacing w:before="20" w:line="288" w:lineRule="auto"/>
        <w:textAlignment w:val="center"/>
        <w:rPr>
          <w:rFonts w:ascii="Arial MT Std" w:eastAsiaTheme="minorHAnsi" w:hAnsi="Arial MT Std" w:cs="Arial MT Std"/>
          <w:color w:val="000000"/>
          <w:spacing w:val="-1"/>
          <w:w w:val="102"/>
          <w:sz w:val="16"/>
          <w:szCs w:val="16"/>
        </w:rPr>
      </w:pPr>
      <w:r w:rsidRPr="00501F87">
        <w:rPr>
          <w:rFonts w:ascii="Arial MT Std" w:eastAsiaTheme="minorHAnsi" w:hAnsi="Arial MT Std" w:cs="Arial MT Std"/>
          <w:color w:val="000000"/>
          <w:spacing w:val="-1"/>
          <w:w w:val="102"/>
          <w:sz w:val="16"/>
          <w:szCs w:val="16"/>
        </w:rPr>
        <w:tab/>
      </w:r>
      <w:r w:rsidRPr="00501F87">
        <w:rPr>
          <w:rFonts w:ascii="Arial MT Std" w:eastAsiaTheme="minorHAnsi" w:hAnsi="Arial MT Std" w:cs="Arial MT Std"/>
          <w:color w:val="000000"/>
          <w:spacing w:val="-1"/>
          <w:w w:val="102"/>
          <w:sz w:val="16"/>
          <w:szCs w:val="16"/>
        </w:rPr>
        <w:tab/>
      </w:r>
      <w:r w:rsidRPr="00501F87">
        <w:rPr>
          <w:rFonts w:ascii="Arial MT Std" w:eastAsiaTheme="minorHAnsi" w:hAnsi="Arial MT Std" w:cs="Arial MT Std"/>
          <w:color w:val="000000"/>
          <w:spacing w:val="-1"/>
          <w:w w:val="102"/>
          <w:sz w:val="16"/>
          <w:szCs w:val="16"/>
        </w:rPr>
        <w:tab/>
        <w:t>AA</w:t>
      </w:r>
      <w:r w:rsidRPr="00501F87">
        <w:rPr>
          <w:rFonts w:ascii="Arial MT Std" w:eastAsiaTheme="minorHAnsi" w:hAnsi="Arial MT Std" w:cs="Arial MT Std"/>
          <w:color w:val="000000"/>
          <w:spacing w:val="-1"/>
          <w:w w:val="102"/>
          <w:sz w:val="16"/>
          <w:szCs w:val="16"/>
        </w:rPr>
        <w:tab/>
        <w:t>60-100% aggregation</w:t>
      </w:r>
    </w:p>
    <w:p w14:paraId="2C33EDD2"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b/>
          <w:bCs/>
          <w:caps/>
          <w:color w:val="000000"/>
          <w:spacing w:val="-1"/>
          <w:sz w:val="16"/>
          <w:szCs w:val="16"/>
        </w:rPr>
      </w:pPr>
      <w:r w:rsidRPr="00501F87">
        <w:rPr>
          <w:rFonts w:ascii="Arial MT Std" w:eastAsiaTheme="minorHAnsi" w:hAnsi="Arial MT Std" w:cs="Arial MT Std"/>
          <w:b/>
          <w:bCs/>
          <w:caps/>
          <w:color w:val="000000"/>
          <w:spacing w:val="-1"/>
          <w:sz w:val="16"/>
          <w:szCs w:val="16"/>
        </w:rPr>
        <w:t>RESULTS</w:t>
      </w:r>
    </w:p>
    <w:p w14:paraId="6B972859" w14:textId="5C8A7E5D" w:rsidR="00501F87" w:rsidRPr="00501F87" w:rsidRDefault="00501F87" w:rsidP="00717D3D">
      <w:pPr>
        <w:widowControl/>
        <w:tabs>
          <w:tab w:val="left" w:pos="200"/>
        </w:tabs>
        <w:suppressAutoHyphens/>
        <w:adjustRightInd w:val="0"/>
        <w:spacing w:before="40" w:line="288" w:lineRule="auto"/>
        <w:jc w:val="both"/>
        <w:textAlignment w:val="center"/>
        <w:rPr>
          <w:rFonts w:ascii="Arial MT Std" w:eastAsiaTheme="minorHAnsi" w:hAnsi="Arial MT Std" w:cs="Arial MT Std"/>
          <w:color w:val="000000"/>
          <w:spacing w:val="-1"/>
          <w:sz w:val="16"/>
          <w:szCs w:val="16"/>
          <w:u w:color="000000"/>
        </w:rPr>
      </w:pPr>
      <w:proofErr w:type="spellStart"/>
      <w:r w:rsidRPr="00501F87">
        <w:rPr>
          <w:rFonts w:ascii="Arial MT Std" w:eastAsiaTheme="minorHAnsi" w:hAnsi="Arial MT Std" w:cs="Arial MT Std"/>
          <w:color w:val="000000"/>
          <w:spacing w:val="-1"/>
          <w:sz w:val="16"/>
          <w:szCs w:val="16"/>
        </w:rPr>
        <w:lastRenderedPageBreak/>
        <w:t>Plateletworks</w:t>
      </w:r>
      <w:proofErr w:type="spellEnd"/>
      <w:r w:rsidRPr="00501F87">
        <w:rPr>
          <w:rFonts w:ascii="Arial MT Std" w:eastAsiaTheme="minorHAnsi" w:hAnsi="Arial MT Std" w:cs="Arial MT Std"/>
          <w:color w:val="000000"/>
          <w:spacing w:val="-1"/>
          <w:sz w:val="16"/>
          <w:szCs w:val="16"/>
        </w:rPr>
        <w:t xml:space="preserve"> arachidonic acid aggregation was done on samples from volunteer donors. 134 samples were from individuals not taking aspirin and 265 were from individuals taking aspirin. The results are shown below.</w:t>
      </w:r>
    </w:p>
    <w:p w14:paraId="20F3D399" w14:textId="77777777" w:rsidR="00501F87" w:rsidRPr="00501F87" w:rsidRDefault="00501F87" w:rsidP="00501F87">
      <w:pPr>
        <w:widowControl/>
        <w:tabs>
          <w:tab w:val="left" w:pos="200"/>
        </w:tabs>
        <w:suppressAutoHyphens/>
        <w:adjustRightInd w:val="0"/>
        <w:spacing w:before="140" w:line="288" w:lineRule="auto"/>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u w:color="000000"/>
        </w:rPr>
        <w:tab/>
        <w:t>Normal (positive) =</w:t>
      </w:r>
      <w:r w:rsidRPr="00501F87">
        <w:rPr>
          <w:rFonts w:ascii="Arial MT Std" w:eastAsiaTheme="minorHAnsi" w:hAnsi="Arial MT Std" w:cs="Arial MT Std"/>
          <w:color w:val="000000"/>
          <w:spacing w:val="-1"/>
          <w:sz w:val="16"/>
          <w:szCs w:val="16"/>
        </w:rPr>
        <w:t xml:space="preserve"> ≥60% Aggregation</w:t>
      </w:r>
    </w:p>
    <w:p w14:paraId="45095266" w14:textId="77777777" w:rsidR="00501F87" w:rsidRPr="00501F87" w:rsidRDefault="00501F87" w:rsidP="00501F87">
      <w:pPr>
        <w:widowControl/>
        <w:tabs>
          <w:tab w:val="left" w:pos="200"/>
        </w:tabs>
        <w:suppressAutoHyphens/>
        <w:adjustRightInd w:val="0"/>
        <w:spacing w:line="288" w:lineRule="auto"/>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u w:color="000000"/>
        </w:rPr>
        <w:t>Abnormal (negative) =</w:t>
      </w:r>
      <w:r w:rsidRPr="00501F87">
        <w:rPr>
          <w:rFonts w:ascii="Arial MT Std" w:eastAsiaTheme="minorHAnsi" w:hAnsi="Arial MT Std" w:cs="Arial MT Std"/>
          <w:color w:val="000000"/>
          <w:spacing w:val="-1"/>
          <w:sz w:val="16"/>
          <w:szCs w:val="16"/>
        </w:rPr>
        <w:t xml:space="preserve"> &lt;60% Aggregation</w:t>
      </w:r>
    </w:p>
    <w:p w14:paraId="11AAE747" w14:textId="77777777" w:rsidR="00501F87" w:rsidRPr="00501F87" w:rsidRDefault="00501F87" w:rsidP="00501F87">
      <w:pPr>
        <w:widowControl/>
        <w:tabs>
          <w:tab w:val="left" w:pos="200"/>
          <w:tab w:val="left" w:pos="420"/>
          <w:tab w:val="left" w:pos="620"/>
          <w:tab w:val="left" w:pos="2420"/>
        </w:tabs>
        <w:suppressAutoHyphens/>
        <w:adjustRightInd w:val="0"/>
        <w:spacing w:before="60" w:line="288" w:lineRule="auto"/>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Overall Agreement</w:t>
      </w:r>
      <w:r w:rsidRPr="00501F87">
        <w:rPr>
          <w:rFonts w:ascii="Arial MT Std" w:eastAsiaTheme="minorHAnsi" w:hAnsi="Arial MT Std" w:cs="Arial MT Std"/>
          <w:color w:val="000000"/>
          <w:spacing w:val="-1"/>
          <w:sz w:val="16"/>
          <w:szCs w:val="16"/>
        </w:rPr>
        <w:tab/>
        <w:t xml:space="preserve"> 90.7%</w:t>
      </w:r>
      <w:r w:rsidRPr="00501F87">
        <w:rPr>
          <w:rFonts w:ascii="Arial MT Std" w:eastAsiaTheme="minorHAnsi" w:hAnsi="Arial MT Std" w:cs="Arial MT Std"/>
          <w:color w:val="000000"/>
          <w:spacing w:val="-1"/>
          <w:sz w:val="16"/>
          <w:szCs w:val="16"/>
        </w:rPr>
        <w:br/>
      </w:r>
      <w:r w:rsidRPr="00501F87">
        <w:rPr>
          <w:rFonts w:ascii="Arial MT Std" w:eastAsiaTheme="minorHAnsi" w:hAnsi="Arial MT Std" w:cs="Arial MT Std"/>
          <w:color w:val="000000"/>
          <w:spacing w:val="-1"/>
          <w:sz w:val="16"/>
          <w:szCs w:val="16"/>
        </w:rPr>
        <w:tab/>
        <w:t>Positive Agreement</w:t>
      </w:r>
      <w:r w:rsidRPr="00501F87">
        <w:rPr>
          <w:rFonts w:ascii="Arial MT Std" w:eastAsiaTheme="minorHAnsi" w:hAnsi="Arial MT Std" w:cs="Arial MT Std"/>
          <w:color w:val="000000"/>
          <w:spacing w:val="-1"/>
          <w:sz w:val="16"/>
          <w:szCs w:val="16"/>
        </w:rPr>
        <w:tab/>
        <w:t xml:space="preserve"> 87.6%</w:t>
      </w:r>
      <w:r w:rsidRPr="00501F87">
        <w:rPr>
          <w:rFonts w:ascii="Arial MT Std" w:eastAsiaTheme="minorHAnsi" w:hAnsi="Arial MT Std" w:cs="Arial MT Std"/>
          <w:color w:val="000000"/>
          <w:spacing w:val="-1"/>
          <w:sz w:val="16"/>
          <w:szCs w:val="16"/>
        </w:rPr>
        <w:br/>
      </w:r>
      <w:r w:rsidRPr="00501F87">
        <w:rPr>
          <w:rFonts w:ascii="Arial MT Std" w:eastAsiaTheme="minorHAnsi" w:hAnsi="Arial MT Std" w:cs="Arial MT Std"/>
          <w:color w:val="000000"/>
          <w:spacing w:val="-1"/>
          <w:sz w:val="16"/>
          <w:szCs w:val="16"/>
        </w:rPr>
        <w:tab/>
        <w:t>Negative Agreement</w:t>
      </w:r>
      <w:r w:rsidRPr="00501F87">
        <w:rPr>
          <w:rFonts w:ascii="Arial MT Std" w:eastAsiaTheme="minorHAnsi" w:hAnsi="Arial MT Std" w:cs="Arial MT Std"/>
          <w:color w:val="000000"/>
          <w:spacing w:val="-1"/>
          <w:sz w:val="16"/>
          <w:szCs w:val="16"/>
        </w:rPr>
        <w:tab/>
        <w:t xml:space="preserve"> 97.0%</w:t>
      </w:r>
    </w:p>
    <w:p w14:paraId="64774890"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b/>
          <w:bCs/>
          <w:caps/>
          <w:color w:val="000000"/>
          <w:spacing w:val="-1"/>
          <w:sz w:val="16"/>
          <w:szCs w:val="16"/>
        </w:rPr>
      </w:pPr>
      <w:r w:rsidRPr="00501F87">
        <w:rPr>
          <w:rFonts w:ascii="Arial MT Std" w:eastAsiaTheme="minorHAnsi" w:hAnsi="Arial MT Std" w:cs="Arial MT Std"/>
          <w:b/>
          <w:bCs/>
          <w:caps/>
          <w:color w:val="000000"/>
          <w:spacing w:val="-1"/>
          <w:sz w:val="16"/>
          <w:szCs w:val="16"/>
        </w:rPr>
        <w:t>LIMITATIONS</w:t>
      </w:r>
    </w:p>
    <w:p w14:paraId="4F2797E0" w14:textId="4EB61695"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w:t>
      </w:r>
      <w:r w:rsidRPr="00501F87">
        <w:rPr>
          <w:rFonts w:ascii="Arial MT Std" w:eastAsiaTheme="minorHAnsi" w:hAnsi="Arial MT Std" w:cs="Arial MT Std"/>
          <w:color w:val="000000"/>
          <w:spacing w:val="-1"/>
          <w:sz w:val="16"/>
          <w:szCs w:val="16"/>
        </w:rPr>
        <w:tab/>
        <w:t xml:space="preserve">Only fresh, human whole blood should be added to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tubes. Do not collect samples into blood collection tubes containing anticoagulant (i.e., sodium citrate, EDTA, or heparin) prior to addition to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tubes.</w:t>
      </w:r>
    </w:p>
    <w:p w14:paraId="3CFA44DE" w14:textId="3A8D39E8"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w:t>
      </w:r>
      <w:r w:rsidRPr="00501F87">
        <w:rPr>
          <w:rFonts w:ascii="Arial MT Std" w:eastAsiaTheme="minorHAnsi" w:hAnsi="Arial MT Std" w:cs="Arial MT Std"/>
          <w:color w:val="000000"/>
          <w:spacing w:val="-1"/>
          <w:sz w:val="16"/>
          <w:szCs w:val="16"/>
        </w:rPr>
        <w:tab/>
        <w:t>It is recognized that many drugs and compounds (prescription and non-prescription) may affect platelet aggregation. The most common of these is aspirin. Therefore, a complete medical history that includes a list of drugs taken for 7-10 days prior to testing should be obtained.</w:t>
      </w:r>
    </w:p>
    <w:p w14:paraId="6830BFFA" w14:textId="56F342B6"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w:t>
      </w:r>
      <w:r w:rsidRPr="00501F87">
        <w:rPr>
          <w:rFonts w:ascii="Arial MT Std" w:eastAsiaTheme="minorHAnsi" w:hAnsi="Arial MT Std" w:cs="Arial MT Std"/>
          <w:color w:val="000000"/>
          <w:spacing w:val="-1"/>
          <w:sz w:val="16"/>
          <w:szCs w:val="16"/>
        </w:rPr>
        <w:tab/>
        <w:t xml:space="preserve">The validity of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assay is dependent on the accuracy of the platelet counts obtained. Multiple factors may potentially interfere with the accuracy of the platelet count when performed on an automated cell counter. Therefore, platelet counts obtained should be scrutinized in light of the patient’s clinical circumstance and previous platelet count results.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results should always be interpreted in light of the clinical history and condition of the patient. The agonist tube should be tested within ten minutes after sample addition to the tube.</w:t>
      </w:r>
    </w:p>
    <w:p w14:paraId="3141D707" w14:textId="4D531A41"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w:t>
      </w:r>
      <w:r w:rsidRPr="00501F87">
        <w:rPr>
          <w:rFonts w:ascii="Arial MT Std" w:eastAsiaTheme="minorHAnsi" w:hAnsi="Arial MT Std" w:cs="Arial MT Std"/>
          <w:color w:val="000000"/>
          <w:spacing w:val="-1"/>
          <w:sz w:val="16"/>
          <w:szCs w:val="16"/>
        </w:rPr>
        <w:tab/>
        <w:t>It may be beneficial for any abnormal baseline results to be further investigated using additional platelet testing methodology, such as platelet count, bleeding time, assessment of platelet morphology, and others.</w:t>
      </w:r>
    </w:p>
    <w:p w14:paraId="45E2EF06" w14:textId="08231D2A"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w:t>
      </w:r>
      <w:r w:rsidRPr="00501F87">
        <w:rPr>
          <w:rFonts w:ascii="Arial MT Std" w:eastAsiaTheme="minorHAnsi" w:hAnsi="Arial MT Std" w:cs="Arial MT Std"/>
          <w:color w:val="000000"/>
          <w:spacing w:val="-1"/>
          <w:sz w:val="16"/>
          <w:szCs w:val="16"/>
        </w:rPr>
        <w:tab/>
        <w:t xml:space="preserve">Do not use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tubes past their expiration date or those which have been improperly stored.</w:t>
      </w:r>
    </w:p>
    <w:p w14:paraId="2DF89DF6" w14:textId="462276CD"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w:t>
      </w:r>
      <w:r w:rsidRPr="00501F87">
        <w:rPr>
          <w:rFonts w:ascii="Arial MT Std" w:eastAsiaTheme="minorHAnsi" w:hAnsi="Arial MT Std" w:cs="Arial MT Std"/>
          <w:color w:val="000000"/>
          <w:spacing w:val="-1"/>
          <w:sz w:val="16"/>
          <w:szCs w:val="16"/>
        </w:rPr>
        <w:tab/>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results may be affected by poor technique (e.g., improper blood sample volume, delayed test performance beyond recommended procedure, etc.).</w:t>
      </w:r>
    </w:p>
    <w:p w14:paraId="35D0A59C" w14:textId="77777777" w:rsidR="00501F87" w:rsidRPr="00501F87" w:rsidRDefault="00501F87" w:rsidP="00501F87">
      <w:pPr>
        <w:widowControl/>
        <w:tabs>
          <w:tab w:val="left" w:pos="200"/>
        </w:tabs>
        <w:suppressAutoHyphens/>
        <w:adjustRightInd w:val="0"/>
        <w:spacing w:before="78" w:line="288" w:lineRule="auto"/>
        <w:jc w:val="both"/>
        <w:textAlignment w:val="center"/>
        <w:rPr>
          <w:rFonts w:ascii="Arial MT Std" w:eastAsiaTheme="minorHAnsi" w:hAnsi="Arial MT Std" w:cs="Arial MT Std"/>
          <w:b/>
          <w:bCs/>
          <w:caps/>
          <w:color w:val="000000"/>
          <w:spacing w:val="-1"/>
          <w:w w:val="102"/>
          <w:sz w:val="16"/>
          <w:szCs w:val="16"/>
        </w:rPr>
      </w:pPr>
      <w:r w:rsidRPr="00501F87">
        <w:rPr>
          <w:rFonts w:ascii="Arial MT Std" w:eastAsiaTheme="minorHAnsi" w:hAnsi="Arial MT Std" w:cs="Arial MT Std"/>
          <w:b/>
          <w:bCs/>
          <w:caps/>
          <w:color w:val="000000"/>
          <w:spacing w:val="-1"/>
          <w:w w:val="102"/>
          <w:sz w:val="16"/>
          <w:szCs w:val="16"/>
        </w:rPr>
        <w:t>INTERFERENCES</w:t>
      </w:r>
    </w:p>
    <w:p w14:paraId="206E10D7" w14:textId="33346633"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w:t>
      </w:r>
      <w:r w:rsidRPr="00501F87">
        <w:rPr>
          <w:rFonts w:ascii="Arial MT Std" w:eastAsiaTheme="minorHAnsi" w:hAnsi="Arial MT Std" w:cs="Arial MT Std"/>
          <w:color w:val="000000"/>
          <w:spacing w:val="-1"/>
          <w:sz w:val="16"/>
          <w:szCs w:val="16"/>
        </w:rPr>
        <w:tab/>
      </w:r>
      <w:proofErr w:type="spellStart"/>
      <w:r w:rsidRPr="00501F87">
        <w:rPr>
          <w:rFonts w:ascii="Arial MT Std" w:eastAsiaTheme="minorHAnsi" w:hAnsi="Arial MT Std" w:cs="Arial MT Std"/>
          <w:color w:val="000000"/>
          <w:spacing w:val="-1"/>
          <w:sz w:val="16"/>
          <w:szCs w:val="16"/>
        </w:rPr>
        <w:t>Pseudothrombocytopenia</w:t>
      </w:r>
      <w:proofErr w:type="spellEnd"/>
      <w:r w:rsidRPr="00501F87">
        <w:rPr>
          <w:rFonts w:ascii="Arial MT Std" w:eastAsiaTheme="minorHAnsi" w:hAnsi="Arial MT Std" w:cs="Arial MT Std"/>
          <w:color w:val="000000"/>
          <w:spacing w:val="-1"/>
          <w:sz w:val="16"/>
          <w:szCs w:val="16"/>
        </w:rPr>
        <w:t>, though infrequent, can result from EDTA-</w:t>
      </w:r>
      <w:proofErr w:type="gramStart"/>
      <w:r w:rsidRPr="00501F87">
        <w:rPr>
          <w:rFonts w:ascii="Arial MT Std" w:eastAsiaTheme="minorHAnsi" w:hAnsi="Arial MT Std" w:cs="Arial MT Std"/>
          <w:color w:val="000000"/>
          <w:spacing w:val="-1"/>
          <w:sz w:val="16"/>
          <w:szCs w:val="16"/>
        </w:rPr>
        <w:t>dependent  platelet</w:t>
      </w:r>
      <w:proofErr w:type="gramEnd"/>
      <w:r w:rsidRPr="00501F87">
        <w:rPr>
          <w:rFonts w:ascii="Arial MT Std" w:eastAsiaTheme="minorHAnsi" w:hAnsi="Arial MT Std" w:cs="Arial MT Std"/>
          <w:color w:val="000000"/>
          <w:spacing w:val="-1"/>
          <w:sz w:val="16"/>
          <w:szCs w:val="16"/>
        </w:rPr>
        <w:t xml:space="preserve"> agglutination. </w:t>
      </w:r>
      <w:proofErr w:type="spellStart"/>
      <w:r w:rsidRPr="00501F87">
        <w:rPr>
          <w:rFonts w:ascii="Arial MT Std" w:eastAsiaTheme="minorHAnsi" w:hAnsi="Arial MT Std" w:cs="Arial MT Std"/>
          <w:color w:val="000000"/>
          <w:spacing w:val="-1"/>
          <w:sz w:val="16"/>
          <w:szCs w:val="16"/>
        </w:rPr>
        <w:t>Pseudothrombocytopenia</w:t>
      </w:r>
      <w:proofErr w:type="spellEnd"/>
      <w:r w:rsidRPr="00501F87">
        <w:rPr>
          <w:rFonts w:ascii="Arial MT Std" w:eastAsiaTheme="minorHAnsi" w:hAnsi="Arial MT Std" w:cs="Arial MT Std"/>
          <w:color w:val="000000"/>
          <w:spacing w:val="-1"/>
          <w:sz w:val="16"/>
          <w:szCs w:val="16"/>
        </w:rPr>
        <w:t xml:space="preserve"> may be suspected with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assay if the platelet count determined using the </w:t>
      </w:r>
      <w:r w:rsidRPr="00501F87">
        <w:rPr>
          <w:rFonts w:ascii="Arial MT Std" w:eastAsiaTheme="minorHAnsi" w:hAnsi="Arial MT Std" w:cs="Arial MT Std"/>
          <w:color w:val="000000"/>
          <w:spacing w:val="1"/>
          <w:sz w:val="16"/>
          <w:szCs w:val="16"/>
        </w:rPr>
        <w:t xml:space="preserve">agonist tube is higher than the platelet count determined using the baseline tube (containing EDTA anticoagulant). If </w:t>
      </w:r>
      <w:proofErr w:type="spellStart"/>
      <w:r w:rsidRPr="00501F87">
        <w:rPr>
          <w:rFonts w:ascii="Arial MT Std" w:eastAsiaTheme="minorHAnsi" w:hAnsi="Arial MT Std" w:cs="Arial MT Std"/>
          <w:color w:val="000000"/>
          <w:spacing w:val="1"/>
          <w:sz w:val="16"/>
          <w:szCs w:val="16"/>
        </w:rPr>
        <w:t>pseudothrombocytopenia</w:t>
      </w:r>
      <w:proofErr w:type="spellEnd"/>
      <w:r w:rsidRPr="00501F87">
        <w:rPr>
          <w:rFonts w:ascii="Arial MT Std" w:eastAsiaTheme="minorHAnsi" w:hAnsi="Arial MT Std" w:cs="Arial MT Std"/>
          <w:color w:val="000000"/>
          <w:spacing w:val="1"/>
          <w:sz w:val="16"/>
          <w:szCs w:val="16"/>
        </w:rPr>
        <w:t xml:space="preserve"> is suspected, common laboratory practice is to re-draw the blood sample into a sodium citrate collection tube and perform the blood count; the results should be corrected by a factor of 1.1 to account for the sample dilution that occurs with the use of sodium citrate as an anticoagulant. This procedure should be followed using the sodium citrate tube in lieu of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baseline tube, followed by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agonist tube, to determine percent platelet aggregation.</w:t>
      </w:r>
    </w:p>
    <w:p w14:paraId="3988C04D" w14:textId="7C417031"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w:t>
      </w:r>
      <w:r w:rsidRPr="00501F87">
        <w:rPr>
          <w:rFonts w:ascii="Arial MT Std" w:eastAsiaTheme="minorHAnsi" w:hAnsi="Arial MT Std" w:cs="Arial MT Std"/>
          <w:color w:val="000000"/>
          <w:spacing w:val="-1"/>
          <w:sz w:val="16"/>
          <w:szCs w:val="16"/>
        </w:rPr>
        <w:tab/>
        <w:t>Cell counters utilizing electronic impedance cell counting principles may be subject to known interfering substances which can impact platelet count results. These include:</w:t>
      </w:r>
    </w:p>
    <w:p w14:paraId="4E462CA7" w14:textId="7579F472" w:rsidR="00501F87" w:rsidRPr="00501F87" w:rsidRDefault="00501F87" w:rsidP="00501F87">
      <w:pPr>
        <w:widowControl/>
        <w:tabs>
          <w:tab w:val="left" w:pos="200"/>
          <w:tab w:val="left" w:pos="3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w:t>
      </w:r>
      <w:r w:rsidRPr="00501F87">
        <w:rPr>
          <w:rFonts w:ascii="Arial MT Std" w:eastAsiaTheme="minorHAnsi" w:hAnsi="Arial MT Std" w:cs="Arial MT Std"/>
          <w:color w:val="000000"/>
          <w:spacing w:val="-1"/>
          <w:sz w:val="16"/>
          <w:szCs w:val="16"/>
        </w:rPr>
        <w:tab/>
        <w:t xml:space="preserve">Microcytes, </w:t>
      </w:r>
      <w:proofErr w:type="spellStart"/>
      <w:r w:rsidRPr="00501F87">
        <w:rPr>
          <w:rFonts w:ascii="Arial MT Std" w:eastAsiaTheme="minorHAnsi" w:hAnsi="Arial MT Std" w:cs="Arial MT Std"/>
          <w:color w:val="000000"/>
          <w:spacing w:val="-1"/>
          <w:sz w:val="16"/>
          <w:szCs w:val="16"/>
        </w:rPr>
        <w:t>schizocytes</w:t>
      </w:r>
      <w:proofErr w:type="spellEnd"/>
      <w:r w:rsidRPr="00501F87">
        <w:rPr>
          <w:rFonts w:ascii="Arial MT Std" w:eastAsiaTheme="minorHAnsi" w:hAnsi="Arial MT Std" w:cs="Arial MT Std"/>
          <w:color w:val="000000"/>
          <w:spacing w:val="-1"/>
          <w:sz w:val="16"/>
          <w:szCs w:val="16"/>
        </w:rPr>
        <w:t>, and WBC fragments, which may interfere with the proper counting of platelets and cause elevated platelet counts.</w:t>
      </w:r>
    </w:p>
    <w:p w14:paraId="752BE4F9" w14:textId="62A3A1F0" w:rsidR="00501F87" w:rsidRPr="00501F87" w:rsidRDefault="00501F87" w:rsidP="00501F87">
      <w:pPr>
        <w:widowControl/>
        <w:tabs>
          <w:tab w:val="left" w:pos="200"/>
          <w:tab w:val="left" w:pos="3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w:t>
      </w:r>
      <w:r w:rsidRPr="00501F87">
        <w:rPr>
          <w:rFonts w:ascii="Arial MT Std" w:eastAsiaTheme="minorHAnsi" w:hAnsi="Arial MT Std" w:cs="Arial MT Std"/>
          <w:color w:val="000000"/>
          <w:spacing w:val="-1"/>
          <w:sz w:val="16"/>
          <w:szCs w:val="16"/>
        </w:rPr>
        <w:tab/>
        <w:t>Agglutinated erythrocytes, which may trap platelets and cause an erroneously low platelet count.</w:t>
      </w:r>
    </w:p>
    <w:p w14:paraId="2FFC0A49" w14:textId="3A885D03" w:rsidR="00501F87" w:rsidRPr="00501F87" w:rsidRDefault="00501F87" w:rsidP="00501F87">
      <w:pPr>
        <w:widowControl/>
        <w:tabs>
          <w:tab w:val="left" w:pos="200"/>
          <w:tab w:val="left" w:pos="3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w:t>
      </w:r>
      <w:r w:rsidRPr="00501F87">
        <w:rPr>
          <w:rFonts w:ascii="Arial MT Std" w:eastAsiaTheme="minorHAnsi" w:hAnsi="Arial MT Std" w:cs="Arial MT Std"/>
          <w:color w:val="000000"/>
          <w:spacing w:val="-1"/>
          <w:sz w:val="16"/>
          <w:szCs w:val="16"/>
        </w:rPr>
        <w:tab/>
        <w:t>Giant platelets, which may cause an erroneously low platelet count since they may exceed the upper limit threshold for the platelet parameter.</w:t>
      </w:r>
    </w:p>
    <w:p w14:paraId="732366A9" w14:textId="1C651A5A" w:rsidR="00501F87" w:rsidRPr="00501F87" w:rsidRDefault="00501F87" w:rsidP="00501F87">
      <w:pPr>
        <w:widowControl/>
        <w:tabs>
          <w:tab w:val="left" w:pos="200"/>
          <w:tab w:val="left" w:pos="3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w:t>
      </w:r>
      <w:r w:rsidRPr="00501F87">
        <w:rPr>
          <w:rFonts w:ascii="Arial MT Std" w:eastAsiaTheme="minorHAnsi" w:hAnsi="Arial MT Std" w:cs="Arial MT Std"/>
          <w:color w:val="000000"/>
          <w:spacing w:val="-1"/>
          <w:sz w:val="16"/>
          <w:szCs w:val="16"/>
        </w:rPr>
        <w:tab/>
        <w:t xml:space="preserve">Chemotherapy, which may increase the fragility of platelets and cause low platelet counts </w:t>
      </w:r>
    </w:p>
    <w:p w14:paraId="302660EC" w14:textId="6DB0B580" w:rsidR="00501F87" w:rsidRPr="00501F87" w:rsidRDefault="00501F87" w:rsidP="00501F87">
      <w:pPr>
        <w:widowControl/>
        <w:tabs>
          <w:tab w:val="left" w:pos="200"/>
          <w:tab w:val="left" w:pos="3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w:t>
      </w:r>
      <w:r w:rsidRPr="00501F87">
        <w:rPr>
          <w:rFonts w:ascii="Arial MT Std" w:eastAsiaTheme="minorHAnsi" w:hAnsi="Arial MT Std" w:cs="Arial MT Std"/>
          <w:color w:val="000000"/>
          <w:spacing w:val="-1"/>
          <w:sz w:val="16"/>
          <w:szCs w:val="16"/>
        </w:rPr>
        <w:tab/>
        <w:t>Hemolysis, which contains red cell stroma and may elevate platelet counts.</w:t>
      </w:r>
    </w:p>
    <w:p w14:paraId="4B611D91" w14:textId="2F2FE24B" w:rsidR="00501F87" w:rsidRPr="00501F87" w:rsidRDefault="00501F87" w:rsidP="00501F87">
      <w:pPr>
        <w:widowControl/>
        <w:tabs>
          <w:tab w:val="left" w:pos="200"/>
          <w:tab w:val="left" w:pos="3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w:t>
      </w:r>
      <w:r w:rsidRPr="00501F87">
        <w:rPr>
          <w:rFonts w:ascii="Arial MT Std" w:eastAsiaTheme="minorHAnsi" w:hAnsi="Arial MT Std" w:cs="Arial MT Std"/>
          <w:color w:val="000000"/>
          <w:spacing w:val="-1"/>
          <w:sz w:val="16"/>
          <w:szCs w:val="16"/>
        </w:rPr>
        <w:tab/>
        <w:t>Acid-citrate-dextrose (ACD) blood, which may contain platelet aggregates that could depress the platelet count.</w:t>
      </w:r>
    </w:p>
    <w:p w14:paraId="67B829BA" w14:textId="5B091536" w:rsidR="00501F87" w:rsidRPr="00501F87" w:rsidRDefault="00501F87" w:rsidP="00501F87">
      <w:pPr>
        <w:widowControl/>
        <w:tabs>
          <w:tab w:val="left" w:pos="200"/>
          <w:tab w:val="left" w:pos="3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w:t>
      </w:r>
      <w:r w:rsidRPr="00501F87">
        <w:rPr>
          <w:rFonts w:ascii="Arial MT Std" w:eastAsiaTheme="minorHAnsi" w:hAnsi="Arial MT Std" w:cs="Arial MT Std"/>
          <w:color w:val="000000"/>
          <w:spacing w:val="-1"/>
          <w:sz w:val="16"/>
          <w:szCs w:val="16"/>
        </w:rPr>
        <w:tab/>
        <w:t>RBC inclusions, which may produce a spuriously increased platelet count.</w:t>
      </w:r>
    </w:p>
    <w:p w14:paraId="1F25AD8C" w14:textId="067F9AC7" w:rsidR="00501F87" w:rsidRPr="00501F87" w:rsidRDefault="00501F87" w:rsidP="00501F87">
      <w:pPr>
        <w:widowControl/>
        <w:tabs>
          <w:tab w:val="left" w:pos="200"/>
          <w:tab w:val="left" w:pos="3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w:t>
      </w:r>
      <w:r w:rsidRPr="00501F87">
        <w:rPr>
          <w:rFonts w:ascii="Arial MT Std" w:eastAsiaTheme="minorHAnsi" w:hAnsi="Arial MT Std" w:cs="Arial MT Std"/>
          <w:color w:val="000000"/>
          <w:spacing w:val="-1"/>
          <w:sz w:val="16"/>
          <w:szCs w:val="16"/>
        </w:rPr>
        <w:tab/>
        <w:t>Platelet agglutination, due to poor collection techniques or EDTA activation, which may cause a decreased platelet count.</w:t>
      </w:r>
    </w:p>
    <w:p w14:paraId="037F99B2"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b/>
          <w:bCs/>
          <w:caps/>
          <w:color w:val="000000"/>
          <w:spacing w:val="-1"/>
          <w:sz w:val="16"/>
          <w:szCs w:val="16"/>
        </w:rPr>
      </w:pPr>
      <w:r w:rsidRPr="00501F87">
        <w:rPr>
          <w:rFonts w:ascii="Arial MT Std" w:eastAsiaTheme="minorHAnsi" w:hAnsi="Arial MT Std" w:cs="Arial MT Std"/>
          <w:b/>
          <w:bCs/>
          <w:caps/>
          <w:color w:val="000000"/>
          <w:spacing w:val="-1"/>
          <w:sz w:val="16"/>
          <w:szCs w:val="16"/>
        </w:rPr>
        <w:t>PERFORMANCE CHARACTERISTICS</w:t>
      </w:r>
    </w:p>
    <w:p w14:paraId="5138003A" w14:textId="77777777" w:rsidR="00501F87" w:rsidRPr="00501F87" w:rsidRDefault="00501F87" w:rsidP="00501F87">
      <w:pPr>
        <w:widowControl/>
        <w:tabs>
          <w:tab w:val="left" w:pos="200"/>
          <w:tab w:val="left" w:pos="360"/>
        </w:tabs>
        <w:adjustRightInd w:val="0"/>
        <w:spacing w:before="40" w:line="288" w:lineRule="auto"/>
        <w:jc w:val="both"/>
        <w:textAlignment w:val="center"/>
        <w:rPr>
          <w:rFonts w:ascii="Arial MT Std" w:eastAsiaTheme="minorHAnsi" w:hAnsi="Arial MT Std" w:cs="Arial MT Std"/>
          <w:b/>
          <w:bCs/>
          <w:color w:val="000000"/>
          <w:sz w:val="16"/>
          <w:szCs w:val="16"/>
        </w:rPr>
      </w:pPr>
      <w:r w:rsidRPr="00501F87">
        <w:rPr>
          <w:rFonts w:ascii="Arial MT Std" w:eastAsiaTheme="minorHAnsi" w:hAnsi="Arial MT Std" w:cs="Arial MT Std"/>
          <w:b/>
          <w:bCs/>
          <w:color w:val="000000"/>
          <w:sz w:val="16"/>
          <w:szCs w:val="16"/>
        </w:rPr>
        <w:t>Correlation Study</w:t>
      </w:r>
    </w:p>
    <w:p w14:paraId="6C6DA49B"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w w:val="102"/>
          <w:sz w:val="16"/>
          <w:szCs w:val="16"/>
        </w:rPr>
        <w:t xml:space="preserve">Correlation of the </w:t>
      </w:r>
      <w:proofErr w:type="spellStart"/>
      <w:r w:rsidRPr="00501F87">
        <w:rPr>
          <w:rFonts w:ascii="Arial MT Std" w:eastAsiaTheme="minorHAnsi" w:hAnsi="Arial MT Std" w:cs="Arial MT Std"/>
          <w:color w:val="000000"/>
          <w:spacing w:val="-1"/>
          <w:w w:val="102"/>
          <w:sz w:val="16"/>
          <w:szCs w:val="16"/>
        </w:rPr>
        <w:t>Plateletworks</w:t>
      </w:r>
      <w:proofErr w:type="spellEnd"/>
      <w:r w:rsidRPr="00501F87">
        <w:rPr>
          <w:rFonts w:ascii="Arial MT Std" w:eastAsiaTheme="minorHAnsi" w:hAnsi="Arial MT Std" w:cs="Arial MT Std"/>
          <w:color w:val="000000"/>
          <w:spacing w:val="-1"/>
          <w:w w:val="102"/>
          <w:sz w:val="16"/>
          <w:szCs w:val="16"/>
        </w:rPr>
        <w:t xml:space="preserve"> assay to platelet aggregometry on platelet rich plasma (PRP) is supported by data generated by testing male and female adults, greater than 18 years of age, at three clinical sites. This includes normal, healthy volunteers, and patients and </w:t>
      </w:r>
      <w:r w:rsidRPr="00501F87">
        <w:rPr>
          <w:rFonts w:ascii="Arial MT Std" w:eastAsiaTheme="minorHAnsi" w:hAnsi="Arial MT Std" w:cs="Arial MT Std"/>
          <w:color w:val="000000"/>
          <w:spacing w:val="-1"/>
          <w:sz w:val="16"/>
          <w:szCs w:val="16"/>
        </w:rPr>
        <w:t>volunteers who were taking aspirin.</w:t>
      </w:r>
    </w:p>
    <w:p w14:paraId="4550D1F5"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All blood samples were acquired from in-dwelling lines or venipuncture using established methods. For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assays and PRP aggregometry, the manufacturers’ recommendations were adhered to as per instructions provided in the package insert. </w:t>
      </w:r>
    </w:p>
    <w:p w14:paraId="48938363"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A positive result was equal to or greater than 60% aggregation and a negative result was less than 60% aggregation. A comparison study of 337 specimens gave an overall agreement of 87.5%; positive agreement of 93.2%; and negative agreement of 85.0%. </w:t>
      </w:r>
    </w:p>
    <w:p w14:paraId="5E244F92"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b/>
          <w:bCs/>
          <w:color w:val="000000"/>
          <w:spacing w:val="-1"/>
          <w:sz w:val="16"/>
          <w:szCs w:val="16"/>
        </w:rPr>
        <w:t xml:space="preserve">Note: </w:t>
      </w:r>
      <w:r w:rsidRPr="00501F87">
        <w:rPr>
          <w:rFonts w:ascii="Arial MT Std" w:eastAsiaTheme="minorHAnsi" w:hAnsi="Arial MT Std" w:cs="Arial MT Std"/>
          <w:color w:val="000000"/>
          <w:spacing w:val="-1"/>
          <w:sz w:val="16"/>
          <w:szCs w:val="16"/>
        </w:rPr>
        <w:t xml:space="preserve">Thrombocytopenic samples may be tested using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assay. As this system utilizes electrical impedance cell counting principles (i.e., Ichor Hematology Analyzer), instrument platelet counts &gt;10 x 10</w:t>
      </w:r>
      <w:r w:rsidRPr="00501F87">
        <w:rPr>
          <w:rFonts w:ascii="Arial MT Std" w:eastAsiaTheme="minorHAnsi" w:hAnsi="Arial MT Std" w:cs="Arial MT Std"/>
          <w:color w:val="000000"/>
          <w:spacing w:val="-1"/>
          <w:sz w:val="16"/>
          <w:szCs w:val="16"/>
          <w:vertAlign w:val="superscript"/>
        </w:rPr>
        <w:t>3</w:t>
      </w:r>
      <w:r w:rsidRPr="00501F87">
        <w:rPr>
          <w:rFonts w:ascii="Arial MT Std" w:eastAsiaTheme="minorHAnsi" w:hAnsi="Arial MT Std" w:cs="Arial MT Std"/>
          <w:color w:val="000000"/>
          <w:spacing w:val="-1"/>
          <w:sz w:val="16"/>
          <w:szCs w:val="16"/>
        </w:rPr>
        <w:t>/µL can be accurately obtained. Agonist platelet counts can be measured in samples meeting the limits of aggregation detection (&gt;27 x 10</w:t>
      </w:r>
      <w:r w:rsidRPr="00501F87">
        <w:rPr>
          <w:rFonts w:ascii="Arial MT Std" w:eastAsiaTheme="minorHAnsi" w:hAnsi="Arial MT Std" w:cs="Arial MT Std"/>
          <w:color w:val="000000"/>
          <w:spacing w:val="-1"/>
          <w:sz w:val="16"/>
          <w:szCs w:val="16"/>
          <w:vertAlign w:val="superscript"/>
        </w:rPr>
        <w:t>3</w:t>
      </w:r>
      <w:r w:rsidRPr="00501F87">
        <w:rPr>
          <w:rFonts w:ascii="Arial MT Std" w:eastAsiaTheme="minorHAnsi" w:hAnsi="Arial MT Std" w:cs="Arial MT Std"/>
          <w:color w:val="000000"/>
          <w:spacing w:val="-1"/>
          <w:sz w:val="16"/>
          <w:szCs w:val="16"/>
        </w:rPr>
        <w:t xml:space="preserve">/µL). Although EDTA-induced thrombocytopenic samples may be tested using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assay, no actual testing was performed on this sample type.</w:t>
      </w:r>
    </w:p>
    <w:p w14:paraId="320D6F61"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b/>
          <w:bCs/>
          <w:color w:val="000000"/>
          <w:spacing w:val="-1"/>
          <w:sz w:val="16"/>
          <w:szCs w:val="16"/>
        </w:rPr>
      </w:pPr>
      <w:r w:rsidRPr="00501F87">
        <w:rPr>
          <w:rFonts w:ascii="Arial MT Std" w:eastAsiaTheme="minorHAnsi" w:hAnsi="Arial MT Std" w:cs="Arial MT Std"/>
          <w:b/>
          <w:bCs/>
          <w:color w:val="000000"/>
          <w:spacing w:val="-1"/>
          <w:sz w:val="16"/>
          <w:szCs w:val="16"/>
        </w:rPr>
        <w:t>Precision</w:t>
      </w:r>
    </w:p>
    <w:p w14:paraId="48769FD3"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Precision of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assay was determined using duplicate samples from a healthy volunteer. The duplicate samples were tested on each of </w:t>
      </w:r>
      <w:proofErr w:type="gramStart"/>
      <w:r w:rsidRPr="00501F87">
        <w:rPr>
          <w:rFonts w:ascii="Arial MT Std" w:eastAsiaTheme="minorHAnsi" w:hAnsi="Arial MT Std" w:cs="Arial MT Std"/>
          <w:color w:val="000000"/>
          <w:spacing w:val="-1"/>
          <w:sz w:val="16"/>
          <w:szCs w:val="16"/>
        </w:rPr>
        <w:t>twenty(</w:t>
      </w:r>
      <w:proofErr w:type="gramEnd"/>
      <w:r w:rsidRPr="00501F87">
        <w:rPr>
          <w:rFonts w:ascii="Arial MT Std" w:eastAsiaTheme="minorHAnsi" w:hAnsi="Arial MT Std" w:cs="Arial MT Std"/>
          <w:color w:val="000000"/>
          <w:spacing w:val="-1"/>
          <w:sz w:val="16"/>
          <w:szCs w:val="16"/>
        </w:rPr>
        <w:t xml:space="preserve">20) days with the AA agonist. The mean was 67%, coefficients of variation were 7.1% within-run and 13.9% for the total test period. </w:t>
      </w:r>
    </w:p>
    <w:p w14:paraId="09DE355A" w14:textId="77777777"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b/>
          <w:bCs/>
          <w:caps/>
          <w:color w:val="000000"/>
          <w:spacing w:val="-1"/>
          <w:sz w:val="16"/>
          <w:szCs w:val="16"/>
        </w:rPr>
      </w:pPr>
      <w:r w:rsidRPr="00501F87">
        <w:rPr>
          <w:rFonts w:ascii="Arial MT Std" w:eastAsiaTheme="minorHAnsi" w:hAnsi="Arial MT Std" w:cs="Arial MT Std"/>
          <w:b/>
          <w:bCs/>
          <w:caps/>
          <w:color w:val="000000"/>
          <w:spacing w:val="-1"/>
          <w:sz w:val="16"/>
          <w:szCs w:val="16"/>
        </w:rPr>
        <w:t>BIBLIOGRAPHY</w:t>
      </w:r>
    </w:p>
    <w:p w14:paraId="2CB16D0D" w14:textId="77777777" w:rsidR="00501F87" w:rsidRPr="00501F87" w:rsidRDefault="00501F87" w:rsidP="00501F87">
      <w:pPr>
        <w:widowControl/>
        <w:tabs>
          <w:tab w:val="left" w:pos="200"/>
          <w:tab w:val="left" w:pos="360"/>
        </w:tabs>
        <w:adjustRightInd w:val="0"/>
        <w:spacing w:line="288" w:lineRule="auto"/>
        <w:jc w:val="both"/>
        <w:textAlignment w:val="center"/>
        <w:rPr>
          <w:rFonts w:ascii="Arial MT Std" w:eastAsiaTheme="minorHAnsi" w:hAnsi="Arial MT Std" w:cs="Arial MT Std"/>
          <w:b/>
          <w:bCs/>
          <w:color w:val="000000"/>
          <w:sz w:val="16"/>
          <w:szCs w:val="16"/>
        </w:rPr>
      </w:pPr>
      <w:proofErr w:type="spellStart"/>
      <w:r w:rsidRPr="00501F87">
        <w:rPr>
          <w:rFonts w:ascii="Arial MT Std" w:eastAsiaTheme="minorHAnsi" w:hAnsi="Arial MT Std" w:cs="Arial MT Std"/>
          <w:b/>
          <w:bCs/>
          <w:color w:val="000000"/>
          <w:sz w:val="16"/>
          <w:szCs w:val="16"/>
        </w:rPr>
        <w:t>Literatur</w:t>
      </w:r>
      <w:proofErr w:type="spellEnd"/>
      <w:r w:rsidRPr="00501F87">
        <w:rPr>
          <w:rFonts w:ascii="Arial MT Std" w:eastAsiaTheme="minorHAnsi" w:hAnsi="Arial MT Std" w:cs="Arial MT Std"/>
          <w:b/>
          <w:bCs/>
          <w:color w:val="000000"/>
          <w:sz w:val="16"/>
          <w:szCs w:val="16"/>
        </w:rPr>
        <w:t>/</w:t>
      </w:r>
      <w:proofErr w:type="spellStart"/>
      <w:r w:rsidRPr="00501F87">
        <w:rPr>
          <w:rFonts w:ascii="Arial MT Std" w:eastAsiaTheme="minorHAnsi" w:hAnsi="Arial MT Std" w:cs="Arial MT Std"/>
          <w:b/>
          <w:bCs/>
          <w:color w:val="000000"/>
          <w:sz w:val="16"/>
          <w:szCs w:val="16"/>
        </w:rPr>
        <w:t>Bibliografia</w:t>
      </w:r>
      <w:proofErr w:type="spellEnd"/>
      <w:r w:rsidRPr="00501F87">
        <w:rPr>
          <w:rFonts w:ascii="Arial MT Std" w:eastAsiaTheme="minorHAnsi" w:hAnsi="Arial MT Std" w:cs="Arial MT Std"/>
          <w:b/>
          <w:bCs/>
          <w:color w:val="000000"/>
          <w:sz w:val="16"/>
          <w:szCs w:val="16"/>
        </w:rPr>
        <w:t>/</w:t>
      </w:r>
      <w:proofErr w:type="spellStart"/>
      <w:r w:rsidRPr="00501F87">
        <w:rPr>
          <w:rFonts w:ascii="Arial MT Std" w:eastAsiaTheme="minorHAnsi" w:hAnsi="Arial MT Std" w:cs="Arial MT Std"/>
          <w:b/>
          <w:bCs/>
          <w:color w:val="000000"/>
          <w:sz w:val="16"/>
          <w:szCs w:val="16"/>
        </w:rPr>
        <w:t>Bibliografie</w:t>
      </w:r>
      <w:proofErr w:type="spellEnd"/>
      <w:r w:rsidRPr="00501F87">
        <w:rPr>
          <w:rFonts w:ascii="Arial MT Std" w:eastAsiaTheme="minorHAnsi" w:hAnsi="Arial MT Std" w:cs="Arial MT Std"/>
          <w:b/>
          <w:bCs/>
          <w:color w:val="000000"/>
          <w:sz w:val="16"/>
          <w:szCs w:val="16"/>
        </w:rPr>
        <w:t>/</w:t>
      </w:r>
      <w:proofErr w:type="spellStart"/>
      <w:r w:rsidRPr="00501F87">
        <w:rPr>
          <w:rFonts w:ascii="Arial MT Std" w:eastAsiaTheme="minorHAnsi" w:hAnsi="Arial MT Std" w:cs="Arial MT Std"/>
          <w:b/>
          <w:bCs/>
          <w:color w:val="000000"/>
          <w:sz w:val="16"/>
          <w:szCs w:val="16"/>
        </w:rPr>
        <w:t>Bibliografia</w:t>
      </w:r>
      <w:proofErr w:type="spellEnd"/>
    </w:p>
    <w:p w14:paraId="2DB15DC5" w14:textId="686175D2"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1.</w:t>
      </w:r>
      <w:r w:rsidRPr="00501F87">
        <w:rPr>
          <w:rFonts w:ascii="Arial MT Std" w:eastAsiaTheme="minorHAnsi" w:hAnsi="Arial MT Std" w:cs="Arial MT Std"/>
          <w:color w:val="000000"/>
          <w:spacing w:val="-1"/>
          <w:sz w:val="16"/>
          <w:szCs w:val="16"/>
        </w:rPr>
        <w:tab/>
        <w:t>Zucker, M.B., The Functioning of Blood Platelets, Sci Amer 242(6):86-103, 1980.</w:t>
      </w:r>
    </w:p>
    <w:p w14:paraId="08672470" w14:textId="7DF1D599"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2.</w:t>
      </w:r>
      <w:r w:rsidRPr="00501F87">
        <w:rPr>
          <w:rFonts w:ascii="Arial MT Std" w:eastAsiaTheme="minorHAnsi" w:hAnsi="Arial MT Std" w:cs="Arial MT Std"/>
          <w:color w:val="000000"/>
          <w:spacing w:val="-1"/>
          <w:sz w:val="16"/>
          <w:szCs w:val="16"/>
        </w:rPr>
        <w:tab/>
        <w:t xml:space="preserve">Marcus, A.J. Platelet Aggregation. Hemostasis and </w:t>
      </w:r>
      <w:proofErr w:type="spellStart"/>
      <w:r w:rsidRPr="00501F87">
        <w:rPr>
          <w:rFonts w:ascii="Arial MT Std" w:eastAsiaTheme="minorHAnsi" w:hAnsi="Arial MT Std" w:cs="Arial MT Std"/>
          <w:color w:val="000000"/>
          <w:spacing w:val="-1"/>
          <w:sz w:val="16"/>
          <w:szCs w:val="16"/>
        </w:rPr>
        <w:t>Throm-bosis</w:t>
      </w:r>
      <w:proofErr w:type="spellEnd"/>
      <w:r w:rsidRPr="00501F87">
        <w:rPr>
          <w:rFonts w:ascii="Arial MT Std" w:eastAsiaTheme="minorHAnsi" w:hAnsi="Arial MT Std" w:cs="Arial MT Std"/>
          <w:color w:val="000000"/>
          <w:spacing w:val="-1"/>
          <w:sz w:val="16"/>
          <w:szCs w:val="16"/>
        </w:rPr>
        <w:t>: Basic Principles and Clinical Practice, Coleman, R.W., Hirsh, J., Marder, V.J., and Salzman, E.W., Ed. J.B. Lippincott Co., Philadelphia, 1982, Pg 380-389.</w:t>
      </w:r>
    </w:p>
    <w:p w14:paraId="77ED964E" w14:textId="419C4665"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3.</w:t>
      </w:r>
      <w:r w:rsidRPr="00501F87">
        <w:rPr>
          <w:rFonts w:ascii="Arial MT Std" w:eastAsiaTheme="minorHAnsi" w:hAnsi="Arial MT Std" w:cs="Arial MT Std"/>
          <w:color w:val="000000"/>
          <w:spacing w:val="-1"/>
          <w:sz w:val="16"/>
          <w:szCs w:val="16"/>
        </w:rPr>
        <w:tab/>
      </w:r>
      <w:proofErr w:type="spellStart"/>
      <w:r w:rsidRPr="00501F87">
        <w:rPr>
          <w:rFonts w:ascii="Arial MT Std" w:eastAsiaTheme="minorHAnsi" w:hAnsi="Arial MT Std" w:cs="Arial MT Std"/>
          <w:color w:val="000000"/>
          <w:spacing w:val="-1"/>
          <w:sz w:val="16"/>
          <w:szCs w:val="16"/>
        </w:rPr>
        <w:t>Sirridge</w:t>
      </w:r>
      <w:proofErr w:type="spellEnd"/>
      <w:r w:rsidRPr="00501F87">
        <w:rPr>
          <w:rFonts w:ascii="Arial MT Std" w:eastAsiaTheme="minorHAnsi" w:hAnsi="Arial MT Std" w:cs="Arial MT Std"/>
          <w:color w:val="000000"/>
          <w:spacing w:val="-1"/>
          <w:sz w:val="16"/>
          <w:szCs w:val="16"/>
        </w:rPr>
        <w:t xml:space="preserve">, M.S. and Shannon, R., Laboratory Evaluation of Hemostasis and Thrombosis, Lea &amp; </w:t>
      </w:r>
      <w:proofErr w:type="spellStart"/>
      <w:r w:rsidRPr="00501F87">
        <w:rPr>
          <w:rFonts w:ascii="Arial MT Std" w:eastAsiaTheme="minorHAnsi" w:hAnsi="Arial MT Std" w:cs="Arial MT Std"/>
          <w:color w:val="000000"/>
          <w:spacing w:val="-1"/>
          <w:sz w:val="16"/>
          <w:szCs w:val="16"/>
        </w:rPr>
        <w:t>Febiger</w:t>
      </w:r>
      <w:proofErr w:type="spellEnd"/>
      <w:r w:rsidRPr="00501F87">
        <w:rPr>
          <w:rFonts w:ascii="Arial MT Std" w:eastAsiaTheme="minorHAnsi" w:hAnsi="Arial MT Std" w:cs="Arial MT Std"/>
          <w:color w:val="000000"/>
          <w:spacing w:val="-1"/>
          <w:sz w:val="16"/>
          <w:szCs w:val="16"/>
        </w:rPr>
        <w:t>, Philadelphia, p. 95, 1983.</w:t>
      </w:r>
    </w:p>
    <w:p w14:paraId="70AC2253" w14:textId="23455541"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4.</w:t>
      </w:r>
      <w:r w:rsidRPr="00501F87">
        <w:rPr>
          <w:rFonts w:ascii="Arial MT Std" w:eastAsiaTheme="minorHAnsi" w:hAnsi="Arial MT Std" w:cs="Arial MT Std"/>
          <w:color w:val="000000"/>
          <w:spacing w:val="-1"/>
          <w:sz w:val="16"/>
          <w:szCs w:val="16"/>
        </w:rPr>
        <w:tab/>
        <w:t xml:space="preserve">Gum, P.A. et al., Profile and prevalence of aspirin resistance in patients with cardiovascular disease. Am J </w:t>
      </w:r>
      <w:proofErr w:type="spellStart"/>
      <w:r w:rsidRPr="00501F87">
        <w:rPr>
          <w:rFonts w:ascii="Arial MT Std" w:eastAsiaTheme="minorHAnsi" w:hAnsi="Arial MT Std" w:cs="Arial MT Std"/>
          <w:color w:val="000000"/>
          <w:spacing w:val="-1"/>
          <w:sz w:val="16"/>
          <w:szCs w:val="16"/>
        </w:rPr>
        <w:t>Cardiol</w:t>
      </w:r>
      <w:proofErr w:type="spellEnd"/>
      <w:r w:rsidRPr="00501F87">
        <w:rPr>
          <w:rFonts w:ascii="Arial MT Std" w:eastAsiaTheme="minorHAnsi" w:hAnsi="Arial MT Std" w:cs="Arial MT Std"/>
          <w:color w:val="000000"/>
          <w:spacing w:val="-1"/>
          <w:sz w:val="16"/>
          <w:szCs w:val="16"/>
        </w:rPr>
        <w:t>, 88(3):230-235, 2001.</w:t>
      </w:r>
    </w:p>
    <w:p w14:paraId="16ADAAE3" w14:textId="35E459CF"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5.</w:t>
      </w:r>
      <w:r w:rsidRPr="00501F87">
        <w:rPr>
          <w:rFonts w:ascii="Arial MT Std" w:eastAsiaTheme="minorHAnsi" w:hAnsi="Arial MT Std" w:cs="Arial MT Std"/>
          <w:color w:val="000000"/>
          <w:spacing w:val="-1"/>
          <w:sz w:val="16"/>
          <w:szCs w:val="16"/>
        </w:rPr>
        <w:tab/>
        <w:t xml:space="preserve">Mueller, M.R. et al., Variable platelet response to low-dose ASA and the risk of limb deterioration in patients submitted to peripheral arterial angioplasty. </w:t>
      </w:r>
      <w:proofErr w:type="spellStart"/>
      <w:r w:rsidRPr="00501F87">
        <w:rPr>
          <w:rFonts w:ascii="Arial MT Std" w:eastAsiaTheme="minorHAnsi" w:hAnsi="Arial MT Std" w:cs="Arial MT Std"/>
          <w:color w:val="000000"/>
          <w:spacing w:val="-1"/>
          <w:sz w:val="16"/>
          <w:szCs w:val="16"/>
        </w:rPr>
        <w:t>Thromb</w:t>
      </w:r>
      <w:proofErr w:type="spellEnd"/>
      <w:r w:rsidRPr="00501F87">
        <w:rPr>
          <w:rFonts w:ascii="Arial MT Std" w:eastAsiaTheme="minorHAnsi" w:hAnsi="Arial MT Std" w:cs="Arial MT Std"/>
          <w:color w:val="000000"/>
          <w:spacing w:val="-1"/>
          <w:sz w:val="16"/>
          <w:szCs w:val="16"/>
        </w:rPr>
        <w:t xml:space="preserve"> </w:t>
      </w:r>
      <w:proofErr w:type="spellStart"/>
      <w:r w:rsidRPr="00501F87">
        <w:rPr>
          <w:rFonts w:ascii="Arial MT Std" w:eastAsiaTheme="minorHAnsi" w:hAnsi="Arial MT Std" w:cs="Arial MT Std"/>
          <w:color w:val="000000"/>
          <w:spacing w:val="-1"/>
          <w:sz w:val="16"/>
          <w:szCs w:val="16"/>
        </w:rPr>
        <w:t>Haemost</w:t>
      </w:r>
      <w:proofErr w:type="spellEnd"/>
      <w:r w:rsidRPr="00501F87">
        <w:rPr>
          <w:rFonts w:ascii="Arial MT Std" w:eastAsiaTheme="minorHAnsi" w:hAnsi="Arial MT Std" w:cs="Arial MT Std"/>
          <w:color w:val="000000"/>
          <w:spacing w:val="-1"/>
          <w:sz w:val="16"/>
          <w:szCs w:val="16"/>
        </w:rPr>
        <w:t>, 78(3):1003-1007, 1997.</w:t>
      </w:r>
    </w:p>
    <w:p w14:paraId="1F818D20" w14:textId="145620B6" w:rsidR="00501F87" w:rsidRPr="00501F87" w:rsidRDefault="00501F87" w:rsidP="00501F87">
      <w:pPr>
        <w:widowControl/>
        <w:tabs>
          <w:tab w:val="left" w:pos="200"/>
        </w:tabs>
        <w:suppressAutoHyphens/>
        <w:adjustRightInd w:val="0"/>
        <w:spacing w:before="40"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lastRenderedPageBreak/>
        <w:t>6.</w:t>
      </w:r>
      <w:r w:rsidRPr="00501F87">
        <w:rPr>
          <w:rFonts w:ascii="Arial MT Std" w:eastAsiaTheme="minorHAnsi" w:hAnsi="Arial MT Std" w:cs="Arial MT Std"/>
          <w:color w:val="000000"/>
          <w:spacing w:val="-1"/>
          <w:sz w:val="16"/>
          <w:szCs w:val="16"/>
        </w:rPr>
        <w:tab/>
        <w:t>Clinical and Laboratory Standards Institute. Defining, Establishing, and Verifying Reference Intervals in the Clinical Laboratory; Approved Guideline. CLSI Document EP28-A3c, Vol. 28, No. 30, October 2010.</w:t>
      </w:r>
    </w:p>
    <w:p w14:paraId="480FC31D" w14:textId="77777777" w:rsidR="00501F87" w:rsidRPr="00501F87" w:rsidRDefault="00501F87" w:rsidP="00717D3D">
      <w:pPr>
        <w:widowControl/>
        <w:tabs>
          <w:tab w:val="left" w:pos="200"/>
        </w:tabs>
        <w:suppressAutoHyphens/>
        <w:adjustRightInd w:val="0"/>
        <w:spacing w:before="180" w:line="288" w:lineRule="auto"/>
        <w:textAlignment w:val="center"/>
        <w:rPr>
          <w:rFonts w:ascii="Arial MT Std" w:eastAsiaTheme="minorHAnsi" w:hAnsi="Arial MT Std" w:cs="Arial MT Std"/>
          <w:color w:val="000000"/>
          <w:spacing w:val="-1"/>
          <w:sz w:val="16"/>
          <w:szCs w:val="16"/>
        </w:rPr>
      </w:pPr>
      <w:proofErr w:type="spellStart"/>
      <w:r w:rsidRPr="00501F87">
        <w:rPr>
          <w:rFonts w:ascii="Arial MT Std" w:eastAsiaTheme="minorHAnsi" w:hAnsi="Arial MT Std" w:cs="Arial MT Std"/>
          <w:b/>
          <w:bCs/>
          <w:color w:val="000000"/>
          <w:spacing w:val="-1"/>
          <w:sz w:val="16"/>
          <w:szCs w:val="16"/>
        </w:rPr>
        <w:t>Plateletworks</w:t>
      </w:r>
      <w:proofErr w:type="spellEnd"/>
      <w:r w:rsidRPr="00501F87">
        <w:rPr>
          <w:rFonts w:ascii="Arial MT Std" w:eastAsiaTheme="minorHAnsi" w:hAnsi="Arial MT Std" w:cs="Arial MT Std"/>
          <w:b/>
          <w:bCs/>
          <w:color w:val="000000"/>
          <w:spacing w:val="-1"/>
          <w:sz w:val="16"/>
          <w:szCs w:val="16"/>
          <w:vertAlign w:val="superscript"/>
        </w:rPr>
        <w:t>®</w:t>
      </w:r>
      <w:r w:rsidRPr="00501F87">
        <w:rPr>
          <w:rFonts w:ascii="Arial MT Std" w:eastAsiaTheme="minorHAnsi" w:hAnsi="Arial MT Std" w:cs="Arial MT Std"/>
          <w:b/>
          <w:bCs/>
          <w:color w:val="000000"/>
          <w:spacing w:val="-1"/>
          <w:sz w:val="16"/>
          <w:szCs w:val="16"/>
        </w:rPr>
        <w:t xml:space="preserve"> </w:t>
      </w:r>
    </w:p>
    <w:p w14:paraId="1FBD1C1C"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b/>
          <w:bCs/>
          <w:color w:val="000000"/>
          <w:spacing w:val="-1"/>
          <w:sz w:val="16"/>
          <w:szCs w:val="16"/>
        </w:rPr>
        <w:t>Cat. No.</w:t>
      </w:r>
    </w:p>
    <w:p w14:paraId="34EC1937"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Arachidonic Acid Kit </w:t>
      </w:r>
      <w:r w:rsidRPr="00501F87">
        <w:rPr>
          <w:rFonts w:ascii="Arial MT Std" w:eastAsiaTheme="minorHAnsi" w:hAnsi="Arial MT Std" w:cs="Arial MT Std"/>
          <w:color w:val="000000"/>
          <w:spacing w:val="-1"/>
          <w:sz w:val="16"/>
          <w:szCs w:val="16"/>
        </w:rPr>
        <w:tab/>
        <w:t>5864</w:t>
      </w:r>
    </w:p>
    <w:p w14:paraId="609031EA"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25 Baseline (EDTA) Tubes</w:t>
      </w:r>
    </w:p>
    <w:p w14:paraId="16D7BD2B"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25 AA Tubes</w:t>
      </w:r>
      <w:r w:rsidRPr="00501F87">
        <w:rPr>
          <w:rFonts w:ascii="Arial MT Std" w:eastAsiaTheme="minorHAnsi" w:hAnsi="Arial MT Std" w:cs="Arial MT Std"/>
          <w:color w:val="000000"/>
          <w:spacing w:val="-1"/>
          <w:sz w:val="16"/>
          <w:szCs w:val="16"/>
        </w:rPr>
        <w:tab/>
      </w:r>
    </w:p>
    <w:p w14:paraId="6D80E852"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Combo-10 Kit</w:t>
      </w:r>
      <w:r w:rsidRPr="00501F87">
        <w:rPr>
          <w:rFonts w:ascii="Arial MT Std" w:eastAsiaTheme="minorHAnsi" w:hAnsi="Arial MT Std" w:cs="Arial MT Std"/>
          <w:color w:val="000000"/>
          <w:spacing w:val="-1"/>
          <w:sz w:val="16"/>
          <w:szCs w:val="16"/>
        </w:rPr>
        <w:tab/>
        <w:t>5854</w:t>
      </w:r>
    </w:p>
    <w:p w14:paraId="055D797E"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10 Baseline (EDTA) Tubes</w:t>
      </w:r>
    </w:p>
    <w:p w14:paraId="6E0A993B"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10 Collagen Tubes</w:t>
      </w:r>
    </w:p>
    <w:p w14:paraId="27A5710F"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10 ADP Tubes</w:t>
      </w:r>
    </w:p>
    <w:p w14:paraId="10EF1369"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10 AA Tubes</w:t>
      </w:r>
    </w:p>
    <w:p w14:paraId="3EC85725"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ADP Kit</w:t>
      </w:r>
      <w:r w:rsidRPr="00501F87">
        <w:rPr>
          <w:rFonts w:ascii="Arial MT Std" w:eastAsiaTheme="minorHAnsi" w:hAnsi="Arial MT Std" w:cs="Arial MT Std"/>
          <w:color w:val="000000"/>
          <w:spacing w:val="-1"/>
          <w:sz w:val="16"/>
          <w:szCs w:val="16"/>
        </w:rPr>
        <w:tab/>
        <w:t>5860</w:t>
      </w:r>
    </w:p>
    <w:p w14:paraId="26C40288"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25 Baseline (EDTA) Tubes</w:t>
      </w:r>
    </w:p>
    <w:p w14:paraId="48A1D7F3"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25 ADP Tubes</w:t>
      </w:r>
    </w:p>
    <w:p w14:paraId="03E65621"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Collagen Kit</w:t>
      </w:r>
      <w:r w:rsidRPr="00501F87">
        <w:rPr>
          <w:rFonts w:ascii="Arial MT Std" w:eastAsiaTheme="minorHAnsi" w:hAnsi="Arial MT Std" w:cs="Arial MT Std"/>
          <w:color w:val="000000"/>
          <w:spacing w:val="-1"/>
          <w:sz w:val="16"/>
          <w:szCs w:val="16"/>
        </w:rPr>
        <w:tab/>
        <w:t>5862</w:t>
      </w:r>
    </w:p>
    <w:p w14:paraId="3682E317"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25 Baseline (EDTA) Tubes</w:t>
      </w:r>
    </w:p>
    <w:p w14:paraId="564EBE8C"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25 Collagen Tubes</w:t>
      </w:r>
    </w:p>
    <w:p w14:paraId="25F0EEDB"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Combo-15 Kit</w:t>
      </w:r>
      <w:r w:rsidRPr="00501F87">
        <w:rPr>
          <w:rFonts w:ascii="Arial MT Std" w:eastAsiaTheme="minorHAnsi" w:hAnsi="Arial MT Std" w:cs="Arial MT Std"/>
          <w:color w:val="000000"/>
          <w:spacing w:val="-1"/>
          <w:sz w:val="16"/>
          <w:szCs w:val="16"/>
        </w:rPr>
        <w:tab/>
        <w:t>5850</w:t>
      </w:r>
    </w:p>
    <w:p w14:paraId="270813EA"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15 Baseline (EDTA) Tubes</w:t>
      </w:r>
    </w:p>
    <w:p w14:paraId="7BF0AF00"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15 Collagen Tubes</w:t>
      </w:r>
    </w:p>
    <w:p w14:paraId="5B769FA4"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15 ADP Tubes</w:t>
      </w:r>
    </w:p>
    <w:p w14:paraId="70D72E2B"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Combo-25 Kit</w:t>
      </w:r>
      <w:r w:rsidRPr="00501F87">
        <w:rPr>
          <w:rFonts w:ascii="Arial MT Std" w:eastAsiaTheme="minorHAnsi" w:hAnsi="Arial MT Std" w:cs="Arial MT Std"/>
          <w:color w:val="000000"/>
          <w:spacing w:val="-1"/>
          <w:sz w:val="16"/>
          <w:szCs w:val="16"/>
        </w:rPr>
        <w:tab/>
        <w:t>5852</w:t>
      </w:r>
    </w:p>
    <w:p w14:paraId="0A130E6D"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25 Baseline (EDTA) Tubes</w:t>
      </w:r>
    </w:p>
    <w:p w14:paraId="181D272B"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25 Collagen Tubes</w:t>
      </w:r>
    </w:p>
    <w:p w14:paraId="31745F9C"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25 ADP Tubes</w:t>
      </w:r>
    </w:p>
    <w:p w14:paraId="5884A5FB" w14:textId="77777777" w:rsidR="00501F87" w:rsidRPr="00501F87" w:rsidRDefault="00501F87" w:rsidP="00717D3D">
      <w:pPr>
        <w:widowControl/>
        <w:tabs>
          <w:tab w:val="left" w:pos="200"/>
          <w:tab w:val="left" w:pos="380"/>
          <w:tab w:val="left" w:pos="560"/>
          <w:tab w:val="right" w:pos="5180"/>
        </w:tabs>
        <w:adjustRightInd w:val="0"/>
        <w:spacing w:before="40" w:line="288" w:lineRule="auto"/>
        <w:textAlignment w:val="center"/>
        <w:rPr>
          <w:rFonts w:ascii="Arial MT Std" w:eastAsiaTheme="minorHAnsi" w:hAnsi="Arial MT Std" w:cs="Arial MT Std"/>
          <w:b/>
          <w:bCs/>
          <w:color w:val="000000"/>
          <w:sz w:val="16"/>
          <w:szCs w:val="16"/>
        </w:rPr>
      </w:pPr>
      <w:r w:rsidRPr="00501F87">
        <w:rPr>
          <w:rFonts w:ascii="Arial MT Std" w:eastAsiaTheme="minorHAnsi" w:hAnsi="Arial MT Std" w:cs="Arial MT Std"/>
          <w:b/>
          <w:bCs/>
          <w:color w:val="000000"/>
          <w:sz w:val="16"/>
          <w:szCs w:val="16"/>
        </w:rPr>
        <w:t>Other Supplies and Equipment</w:t>
      </w:r>
    </w:p>
    <w:p w14:paraId="73E084DE" w14:textId="77777777" w:rsidR="00501F87" w:rsidRPr="00501F87" w:rsidRDefault="00501F87" w:rsidP="00501F87">
      <w:pPr>
        <w:widowControl/>
        <w:tabs>
          <w:tab w:val="left" w:pos="200"/>
          <w:tab w:val="left" w:pos="380"/>
          <w:tab w:val="left" w:pos="560"/>
          <w:tab w:val="right" w:pos="51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The following items, associated with the performance of the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Kits, must be ordered individually.</w:t>
      </w:r>
    </w:p>
    <w:p w14:paraId="07562E11" w14:textId="77777777" w:rsidR="00501F87" w:rsidRPr="00501F87" w:rsidRDefault="00501F87" w:rsidP="00501F87">
      <w:pPr>
        <w:widowControl/>
        <w:tabs>
          <w:tab w:val="left" w:pos="200"/>
          <w:tab w:val="left" w:pos="380"/>
          <w:tab w:val="left" w:pos="560"/>
          <w:tab w:val="right" w:pos="408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ab/>
      </w:r>
      <w:r w:rsidRPr="00501F87">
        <w:rPr>
          <w:rFonts w:ascii="Arial MT Std" w:eastAsiaTheme="minorHAnsi" w:hAnsi="Arial MT Std" w:cs="Arial MT Std"/>
          <w:b/>
          <w:bCs/>
          <w:color w:val="000000"/>
          <w:spacing w:val="-1"/>
          <w:sz w:val="16"/>
          <w:szCs w:val="16"/>
        </w:rPr>
        <w:t>Cat. No.</w:t>
      </w:r>
    </w:p>
    <w:p w14:paraId="1031E791" w14:textId="028F66E0" w:rsidR="00501F87" w:rsidRPr="00501F87" w:rsidRDefault="00501F87" w:rsidP="00501F87">
      <w:pPr>
        <w:widowControl/>
        <w:tabs>
          <w:tab w:val="left" w:pos="20"/>
          <w:tab w:val="left" w:pos="200"/>
          <w:tab w:val="left" w:pos="380"/>
          <w:tab w:val="left" w:pos="560"/>
          <w:tab w:val="left" w:pos="735"/>
          <w:tab w:val="right" w:pos="39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Calculation Wheel</w:t>
      </w:r>
      <w:r w:rsidRPr="00501F87">
        <w:rPr>
          <w:rFonts w:ascii="Arial MT Std" w:eastAsiaTheme="minorHAnsi" w:hAnsi="Arial MT Std" w:cs="Arial MT Std"/>
          <w:color w:val="000000"/>
          <w:spacing w:val="-1"/>
          <w:sz w:val="16"/>
          <w:szCs w:val="16"/>
        </w:rPr>
        <w:tab/>
      </w:r>
      <w:r w:rsidR="00717D3D">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584</w:t>
      </w:r>
    </w:p>
    <w:p w14:paraId="658D71A7" w14:textId="526A53AD" w:rsidR="00501F87" w:rsidRPr="00501F87" w:rsidRDefault="00501F87" w:rsidP="00501F87">
      <w:pPr>
        <w:widowControl/>
        <w:tabs>
          <w:tab w:val="left" w:pos="20"/>
          <w:tab w:val="left" w:pos="200"/>
          <w:tab w:val="left" w:pos="380"/>
          <w:tab w:val="left" w:pos="560"/>
          <w:tab w:val="left" w:pos="735"/>
          <w:tab w:val="right" w:pos="3960"/>
        </w:tabs>
        <w:suppressAutoHyphens/>
        <w:adjustRightInd w:val="0"/>
        <w:spacing w:before="40"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aps/>
          <w:color w:val="000000"/>
          <w:spacing w:val="-1"/>
          <w:sz w:val="16"/>
          <w:szCs w:val="16"/>
        </w:rPr>
        <w:tab/>
      </w:r>
      <w:r w:rsidRPr="00501F87">
        <w:rPr>
          <w:rFonts w:ascii="Arial MT Std" w:eastAsiaTheme="minorHAnsi" w:hAnsi="Arial MT Std" w:cs="Arial MT Std"/>
          <w:color w:val="000000"/>
          <w:spacing w:val="-1"/>
          <w:sz w:val="16"/>
          <w:szCs w:val="16"/>
        </w:rPr>
        <w:t>Diluent Solution for ICHOR II &amp; BC-3600 (2 x 5.5.L)</w:t>
      </w:r>
      <w:r w:rsidRPr="00501F87">
        <w:rPr>
          <w:rFonts w:ascii="Arial MT Std" w:eastAsiaTheme="minorHAnsi" w:hAnsi="Arial MT Std" w:cs="Arial MT Std"/>
          <w:caps/>
          <w:color w:val="000000"/>
          <w:spacing w:val="-1"/>
          <w:sz w:val="16"/>
          <w:szCs w:val="16"/>
        </w:rPr>
        <w:t xml:space="preserve"> </w:t>
      </w:r>
      <w:r w:rsidRPr="00501F87">
        <w:rPr>
          <w:rFonts w:ascii="Arial MT Std" w:eastAsiaTheme="minorHAnsi" w:hAnsi="Arial MT Std" w:cs="Arial MT Std"/>
          <w:color w:val="000000"/>
          <w:spacing w:val="-1"/>
          <w:sz w:val="16"/>
          <w:szCs w:val="16"/>
        </w:rPr>
        <w:tab/>
      </w:r>
      <w:r w:rsidR="00717D3D">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5881</w:t>
      </w:r>
    </w:p>
    <w:p w14:paraId="7E4DF48C" w14:textId="5418E572" w:rsidR="00501F87" w:rsidRPr="00501F87" w:rsidRDefault="00501F87" w:rsidP="00501F87">
      <w:pPr>
        <w:widowControl/>
        <w:tabs>
          <w:tab w:val="left" w:pos="20"/>
          <w:tab w:val="left" w:pos="200"/>
          <w:tab w:val="left" w:pos="380"/>
          <w:tab w:val="left" w:pos="560"/>
          <w:tab w:val="left" w:pos="735"/>
          <w:tab w:val="right" w:pos="39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aps/>
          <w:color w:val="000000"/>
          <w:spacing w:val="-1"/>
          <w:sz w:val="16"/>
          <w:szCs w:val="16"/>
        </w:rPr>
        <w:tab/>
        <w:t>Ichor</w:t>
      </w:r>
      <w:r w:rsidRPr="00501F87">
        <w:rPr>
          <w:rFonts w:ascii="Arial MT Std" w:eastAsiaTheme="minorHAnsi" w:hAnsi="Arial MT Std" w:cs="Arial MT Std"/>
          <w:color w:val="000000"/>
          <w:spacing w:val="-1"/>
          <w:sz w:val="16"/>
          <w:szCs w:val="16"/>
        </w:rPr>
        <w:t xml:space="preserve"> II E-Z Cleanser (100 mL)</w:t>
      </w:r>
      <w:r w:rsidRPr="00501F87">
        <w:rPr>
          <w:rFonts w:ascii="Arial MT Std" w:eastAsiaTheme="minorHAnsi" w:hAnsi="Arial MT Std" w:cs="Arial MT Std"/>
          <w:color w:val="000000"/>
          <w:spacing w:val="-1"/>
          <w:sz w:val="16"/>
          <w:szCs w:val="16"/>
        </w:rPr>
        <w:tab/>
      </w:r>
      <w:r w:rsidR="00717D3D">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5882</w:t>
      </w:r>
    </w:p>
    <w:p w14:paraId="0FAB99BF" w14:textId="5A272FD6" w:rsidR="00501F87" w:rsidRPr="00501F87" w:rsidRDefault="00501F87" w:rsidP="00501F87">
      <w:pPr>
        <w:widowControl/>
        <w:tabs>
          <w:tab w:val="left" w:pos="20"/>
          <w:tab w:val="left" w:pos="200"/>
          <w:tab w:val="left" w:pos="380"/>
          <w:tab w:val="left" w:pos="560"/>
          <w:tab w:val="left" w:pos="735"/>
          <w:tab w:val="right" w:pos="39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Diluent Solution for ICHOR II &amp; BC-3600 (20 L)</w:t>
      </w:r>
      <w:r w:rsidRPr="00501F87">
        <w:rPr>
          <w:rFonts w:ascii="Arial MT Std" w:eastAsiaTheme="minorHAnsi" w:hAnsi="Arial MT Std" w:cs="Arial MT Std"/>
          <w:caps/>
          <w:color w:val="000000"/>
          <w:spacing w:val="-1"/>
          <w:sz w:val="16"/>
          <w:szCs w:val="16"/>
        </w:rPr>
        <w:t xml:space="preserve"> </w:t>
      </w:r>
      <w:r w:rsidRPr="00501F87">
        <w:rPr>
          <w:rFonts w:ascii="Arial MT Std" w:eastAsiaTheme="minorHAnsi" w:hAnsi="Arial MT Std" w:cs="Arial MT Std"/>
          <w:color w:val="000000"/>
          <w:spacing w:val="-1"/>
          <w:sz w:val="16"/>
          <w:szCs w:val="16"/>
        </w:rPr>
        <w:tab/>
      </w:r>
      <w:r w:rsidR="00717D3D">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 xml:space="preserve">5884          </w:t>
      </w:r>
    </w:p>
    <w:p w14:paraId="4535E3AB" w14:textId="2C631463" w:rsidR="00501F87" w:rsidRPr="00501F87" w:rsidRDefault="00501F87" w:rsidP="00501F87">
      <w:pPr>
        <w:widowControl/>
        <w:tabs>
          <w:tab w:val="left" w:pos="20"/>
          <w:tab w:val="left" w:pos="200"/>
          <w:tab w:val="left" w:pos="380"/>
          <w:tab w:val="left" w:pos="560"/>
          <w:tab w:val="left" w:pos="735"/>
          <w:tab w:val="right" w:pos="39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Rinse Solution for ICHOR II &amp; BC-3600 (2 x 5.5.L)</w:t>
      </w:r>
      <w:r w:rsidRPr="00501F87">
        <w:rPr>
          <w:rFonts w:ascii="Arial MT Std" w:eastAsiaTheme="minorHAnsi" w:hAnsi="Arial MT Std" w:cs="Arial MT Std"/>
          <w:caps/>
          <w:color w:val="000000"/>
          <w:spacing w:val="-1"/>
          <w:sz w:val="16"/>
          <w:szCs w:val="16"/>
        </w:rPr>
        <w:t xml:space="preserve"> </w:t>
      </w:r>
      <w:r w:rsidRPr="00501F87">
        <w:rPr>
          <w:rFonts w:ascii="Arial MT Std" w:eastAsiaTheme="minorHAnsi" w:hAnsi="Arial MT Std" w:cs="Arial MT Std"/>
          <w:color w:val="000000"/>
          <w:spacing w:val="-1"/>
          <w:sz w:val="16"/>
          <w:szCs w:val="16"/>
        </w:rPr>
        <w:tab/>
      </w:r>
      <w:r w:rsidR="00717D3D">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5885</w:t>
      </w:r>
    </w:p>
    <w:p w14:paraId="3F6BE233" w14:textId="7011E62A" w:rsidR="00501F87" w:rsidRPr="00501F87" w:rsidRDefault="00501F87" w:rsidP="00501F87">
      <w:pPr>
        <w:widowControl/>
        <w:tabs>
          <w:tab w:val="left" w:pos="20"/>
          <w:tab w:val="left" w:pos="200"/>
          <w:tab w:val="left" w:pos="380"/>
          <w:tab w:val="left" w:pos="560"/>
          <w:tab w:val="left" w:pos="735"/>
          <w:tab w:val="right" w:pos="39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Lyse Reagent for ICHOR II &amp; BC-3600 (500 mL)</w:t>
      </w:r>
      <w:r w:rsidRPr="00501F87">
        <w:rPr>
          <w:rFonts w:ascii="Arial MT Std" w:eastAsiaTheme="minorHAnsi" w:hAnsi="Arial MT Std" w:cs="Arial MT Std"/>
          <w:caps/>
          <w:color w:val="000000"/>
          <w:spacing w:val="-1"/>
          <w:sz w:val="16"/>
          <w:szCs w:val="16"/>
        </w:rPr>
        <w:t xml:space="preserve"> </w:t>
      </w:r>
      <w:r w:rsidRPr="00501F87">
        <w:rPr>
          <w:rFonts w:ascii="Arial MT Std" w:eastAsiaTheme="minorHAnsi" w:hAnsi="Arial MT Std" w:cs="Arial MT Std"/>
          <w:color w:val="000000"/>
          <w:spacing w:val="-1"/>
          <w:sz w:val="16"/>
          <w:szCs w:val="16"/>
        </w:rPr>
        <w:tab/>
      </w:r>
      <w:r w:rsidR="00717D3D">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5886</w:t>
      </w:r>
    </w:p>
    <w:p w14:paraId="28D19885" w14:textId="79B7CF0B" w:rsidR="00501F87" w:rsidRPr="00501F87" w:rsidRDefault="00501F87" w:rsidP="00501F87">
      <w:pPr>
        <w:widowControl/>
        <w:tabs>
          <w:tab w:val="left" w:pos="20"/>
          <w:tab w:val="left" w:pos="200"/>
          <w:tab w:val="left" w:pos="380"/>
          <w:tab w:val="left" w:pos="560"/>
          <w:tab w:val="left" w:pos="735"/>
          <w:tab w:val="right" w:pos="39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Tri-Level Control for ICHOR II &amp; BC-3600</w:t>
      </w:r>
      <w:r w:rsidRPr="00501F87">
        <w:rPr>
          <w:rFonts w:ascii="Arial MT Std" w:eastAsiaTheme="minorHAnsi" w:hAnsi="Arial MT Std" w:cs="Arial MT Std"/>
          <w:caps/>
          <w:color w:val="000000"/>
          <w:spacing w:val="-1"/>
          <w:sz w:val="16"/>
          <w:szCs w:val="16"/>
        </w:rPr>
        <w:t xml:space="preserve"> </w:t>
      </w:r>
      <w:r w:rsidRPr="00501F87">
        <w:rPr>
          <w:rFonts w:ascii="Arial MT Std" w:eastAsiaTheme="minorHAnsi" w:hAnsi="Arial MT Std" w:cs="Arial MT Std"/>
          <w:color w:val="000000"/>
          <w:spacing w:val="-1"/>
          <w:sz w:val="16"/>
          <w:szCs w:val="16"/>
        </w:rPr>
        <w:tab/>
      </w:r>
      <w:r w:rsidR="00717D3D">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5887</w:t>
      </w:r>
    </w:p>
    <w:p w14:paraId="0BD4DF91" w14:textId="1B8EC785" w:rsidR="00501F87" w:rsidRPr="00501F87" w:rsidRDefault="00501F87" w:rsidP="00501F87">
      <w:pPr>
        <w:widowControl/>
        <w:tabs>
          <w:tab w:val="left" w:pos="20"/>
          <w:tab w:val="left" w:pos="200"/>
          <w:tab w:val="left" w:pos="380"/>
          <w:tab w:val="left" w:pos="560"/>
          <w:tab w:val="left" w:pos="735"/>
          <w:tab w:val="right" w:pos="39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Calibrator for ICHOR II &amp; BC-3600</w:t>
      </w:r>
      <w:r w:rsidRPr="00501F87">
        <w:rPr>
          <w:rFonts w:ascii="Arial MT Std" w:eastAsiaTheme="minorHAnsi" w:hAnsi="Arial MT Std" w:cs="Arial MT Std"/>
          <w:caps/>
          <w:color w:val="000000"/>
          <w:spacing w:val="-1"/>
          <w:sz w:val="16"/>
          <w:szCs w:val="16"/>
        </w:rPr>
        <w:t xml:space="preserve"> </w:t>
      </w:r>
      <w:r w:rsidRPr="00501F87">
        <w:rPr>
          <w:rFonts w:ascii="Arial MT Std" w:eastAsiaTheme="minorHAnsi" w:hAnsi="Arial MT Std" w:cs="Arial MT Std"/>
          <w:color w:val="000000"/>
          <w:spacing w:val="-1"/>
          <w:sz w:val="16"/>
          <w:szCs w:val="16"/>
        </w:rPr>
        <w:tab/>
      </w:r>
      <w:r w:rsidR="00717D3D">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5888</w:t>
      </w:r>
    </w:p>
    <w:p w14:paraId="00916877" w14:textId="4F88E9CB" w:rsidR="00501F87" w:rsidRPr="00501F87" w:rsidRDefault="00501F87" w:rsidP="00501F87">
      <w:pPr>
        <w:widowControl/>
        <w:tabs>
          <w:tab w:val="left" w:pos="20"/>
          <w:tab w:val="left" w:pos="200"/>
          <w:tab w:val="left" w:pos="380"/>
          <w:tab w:val="left" w:pos="560"/>
          <w:tab w:val="left" w:pos="735"/>
          <w:tab w:val="right" w:pos="39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Thermal paper for ICHOR II &amp; BC-3600 (5 rolls)</w:t>
      </w:r>
      <w:r w:rsidRPr="00501F87">
        <w:rPr>
          <w:rFonts w:ascii="Arial MT Std" w:eastAsiaTheme="minorHAnsi" w:hAnsi="Arial MT Std" w:cs="Arial MT Std"/>
          <w:caps/>
          <w:color w:val="000000"/>
          <w:spacing w:val="-1"/>
          <w:sz w:val="16"/>
          <w:szCs w:val="16"/>
        </w:rPr>
        <w:t xml:space="preserve"> </w:t>
      </w:r>
      <w:r w:rsidRPr="00501F87">
        <w:rPr>
          <w:rFonts w:ascii="Arial MT Std" w:eastAsiaTheme="minorHAnsi" w:hAnsi="Arial MT Std" w:cs="Arial MT Std"/>
          <w:color w:val="000000"/>
          <w:spacing w:val="-1"/>
          <w:sz w:val="16"/>
          <w:szCs w:val="16"/>
        </w:rPr>
        <w:tab/>
      </w:r>
      <w:r w:rsidR="00717D3D">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5889</w:t>
      </w:r>
    </w:p>
    <w:p w14:paraId="656145D7" w14:textId="527DFE97" w:rsidR="00501F87" w:rsidRPr="00501F87" w:rsidRDefault="00501F87" w:rsidP="00501F87">
      <w:pPr>
        <w:widowControl/>
        <w:tabs>
          <w:tab w:val="left" w:pos="20"/>
          <w:tab w:val="left" w:pos="200"/>
          <w:tab w:val="left" w:pos="380"/>
          <w:tab w:val="left" w:pos="560"/>
          <w:tab w:val="left" w:pos="735"/>
          <w:tab w:val="right" w:pos="39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Mindray BC-3600 Analyzer</w:t>
      </w:r>
      <w:r w:rsidRPr="00501F87">
        <w:rPr>
          <w:rFonts w:ascii="Arial MT Std" w:eastAsiaTheme="minorHAnsi" w:hAnsi="Arial MT Std" w:cs="Arial MT Std"/>
          <w:color w:val="000000"/>
          <w:spacing w:val="-1"/>
          <w:sz w:val="16"/>
          <w:szCs w:val="16"/>
        </w:rPr>
        <w:tab/>
      </w:r>
      <w:r w:rsidR="00717D3D">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5890</w:t>
      </w:r>
    </w:p>
    <w:p w14:paraId="5FC1342D" w14:textId="469CCBA2" w:rsidR="00501F87" w:rsidRPr="00501F87" w:rsidRDefault="00501F87" w:rsidP="00501F87">
      <w:pPr>
        <w:widowControl/>
        <w:tabs>
          <w:tab w:val="left" w:pos="20"/>
          <w:tab w:val="left" w:pos="200"/>
          <w:tab w:val="left" w:pos="380"/>
          <w:tab w:val="left" w:pos="560"/>
          <w:tab w:val="left" w:pos="735"/>
          <w:tab w:val="right" w:pos="396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b/>
        <w:t>Probe Cleanser for Mindray BC-3600 (1 x 17 mL)</w:t>
      </w:r>
      <w:r w:rsidRPr="00501F87">
        <w:rPr>
          <w:rFonts w:ascii="Arial MT Std" w:eastAsiaTheme="minorHAnsi" w:hAnsi="Arial MT Std" w:cs="Arial MT Std"/>
          <w:color w:val="000000"/>
          <w:spacing w:val="-1"/>
          <w:sz w:val="16"/>
          <w:szCs w:val="16"/>
        </w:rPr>
        <w:tab/>
      </w:r>
      <w:r w:rsidR="00717D3D">
        <w:rPr>
          <w:rFonts w:ascii="Arial MT Std" w:eastAsiaTheme="minorHAnsi" w:hAnsi="Arial MT Std" w:cs="Arial MT Std"/>
          <w:color w:val="000000"/>
          <w:spacing w:val="-1"/>
          <w:sz w:val="16"/>
          <w:szCs w:val="16"/>
        </w:rPr>
        <w:tab/>
      </w:r>
      <w:r w:rsidRPr="00501F87">
        <w:rPr>
          <w:rFonts w:ascii="Arial MT Std" w:eastAsiaTheme="minorHAnsi" w:hAnsi="Arial MT Std" w:cs="Arial MT Std"/>
          <w:color w:val="000000"/>
          <w:spacing w:val="-1"/>
          <w:sz w:val="16"/>
          <w:szCs w:val="16"/>
        </w:rPr>
        <w:t>5893</w:t>
      </w:r>
    </w:p>
    <w:p w14:paraId="11FB9D4F" w14:textId="77777777" w:rsidR="00501F87" w:rsidRPr="00501F87" w:rsidRDefault="00501F87" w:rsidP="00501F87">
      <w:pPr>
        <w:widowControl/>
        <w:tabs>
          <w:tab w:val="left" w:pos="270"/>
          <w:tab w:val="left" w:pos="735"/>
          <w:tab w:val="right" w:pos="424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p>
    <w:p w14:paraId="1C5B523D" w14:textId="7E9D0634"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For Sales, Technical and Order Information and Service Assistance, call 800-231-5663 toll free.</w:t>
      </w:r>
    </w:p>
    <w:p w14:paraId="766EA23B"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14:paraId="0D52BADB"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In no case will Helena Laboratories be liable for consequential damages even if Helena has been advised as to the possibility of such damages.</w:t>
      </w:r>
    </w:p>
    <w:p w14:paraId="39D71C21"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The foregoing warranties are in lieu of all warranties expressed or implied including, but not limited to, the implied warranties of merchantability and fitness for a particular purpose.</w:t>
      </w:r>
    </w:p>
    <w:p w14:paraId="33226882" w14:textId="690405AE"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2023</w:t>
      </w:r>
    </w:p>
    <w:p w14:paraId="4A100490"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 xml:space="preserve">Test System: </w:t>
      </w:r>
      <w:proofErr w:type="spellStart"/>
      <w:r w:rsidRPr="00501F87">
        <w:rPr>
          <w:rFonts w:ascii="Arial MT Std" w:eastAsiaTheme="minorHAnsi" w:hAnsi="Arial MT Std" w:cs="Arial MT Std"/>
          <w:color w:val="000000"/>
          <w:spacing w:val="-1"/>
          <w:sz w:val="16"/>
          <w:szCs w:val="16"/>
        </w:rPr>
        <w:t>Plateletworks</w:t>
      </w:r>
      <w:proofErr w:type="spellEnd"/>
      <w:r w:rsidRPr="00501F87">
        <w:rPr>
          <w:rFonts w:ascii="Arial MT Std" w:eastAsiaTheme="minorHAnsi" w:hAnsi="Arial MT Std" w:cs="Arial MT Std"/>
          <w:color w:val="000000"/>
          <w:spacing w:val="-1"/>
          <w:sz w:val="16"/>
          <w:szCs w:val="16"/>
        </w:rPr>
        <w:t xml:space="preserve"> Arachidonic Acid</w:t>
      </w:r>
    </w:p>
    <w:p w14:paraId="638BF123" w14:textId="77777777"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Analyte: Platelet Aggregation Percentage</w:t>
      </w:r>
    </w:p>
    <w:p w14:paraId="5E5AC6EA" w14:textId="5A5AC9BD" w:rsidR="00501F87" w:rsidRPr="00501F87" w:rsidRDefault="00501F87" w:rsidP="00501F87">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Complexity: Moderate.</w:t>
      </w:r>
    </w:p>
    <w:p w14:paraId="5B8DE356" w14:textId="45F92546" w:rsidR="00501F87" w:rsidRPr="00501F87" w:rsidRDefault="00717D3D" w:rsidP="00501F87">
      <w:pPr>
        <w:widowControl/>
        <w:tabs>
          <w:tab w:val="left" w:pos="720"/>
          <w:tab w:val="left" w:pos="3975"/>
          <w:tab w:val="left" w:pos="7530"/>
        </w:tabs>
        <w:adjustRightInd w:val="0"/>
        <w:spacing w:line="288" w:lineRule="auto"/>
        <w:textAlignment w:val="center"/>
        <w:rPr>
          <w:rFonts w:ascii="Arial MT Std" w:eastAsiaTheme="minorHAnsi" w:hAnsi="Arial MT Std" w:cs="Arial Narrow"/>
          <w:color w:val="000000"/>
          <w:sz w:val="16"/>
          <w:szCs w:val="16"/>
        </w:rPr>
      </w:pPr>
      <w:r w:rsidRPr="00184AD2">
        <w:rPr>
          <w:rFonts w:ascii="Arial MT Std" w:eastAsiaTheme="minorHAnsi" w:hAnsi="Arial MT Std" w:cs="Arial MT Std"/>
          <w:noProof/>
          <w:color w:val="000000"/>
          <w:sz w:val="12"/>
          <w:szCs w:val="12"/>
        </w:rPr>
        <w:drawing>
          <wp:anchor distT="0" distB="0" distL="114300" distR="114300" simplePos="0" relativeHeight="251658240" behindDoc="1" locked="0" layoutInCell="1" allowOverlap="1" wp14:anchorId="2D8ADF80" wp14:editId="18FB5FF5">
            <wp:simplePos x="0" y="0"/>
            <wp:positionH relativeFrom="column">
              <wp:posOffset>-109220</wp:posOffset>
            </wp:positionH>
            <wp:positionV relativeFrom="paragraph">
              <wp:posOffset>165735</wp:posOffset>
            </wp:positionV>
            <wp:extent cx="254000" cy="254000"/>
            <wp:effectExtent l="0" t="0" r="0" b="0"/>
            <wp:wrapTight wrapText="bothSides">
              <wp:wrapPolygon edited="0">
                <wp:start x="14040" y="0"/>
                <wp:lineTo x="0" y="5400"/>
                <wp:lineTo x="0" y="20520"/>
                <wp:lineTo x="20520" y="20520"/>
                <wp:lineTo x="20520" y="0"/>
                <wp:lineTo x="1404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p>
    <w:p w14:paraId="6D573C65" w14:textId="6E1B8BF1" w:rsidR="00501F87" w:rsidRPr="00501F87" w:rsidRDefault="00717D3D" w:rsidP="00501F87">
      <w:pPr>
        <w:widowControl/>
        <w:tabs>
          <w:tab w:val="left" w:pos="640"/>
          <w:tab w:val="left" w:pos="3975"/>
          <w:tab w:val="left" w:pos="7530"/>
        </w:tabs>
        <w:suppressAutoHyphens/>
        <w:adjustRightInd w:val="0"/>
        <w:spacing w:line="288" w:lineRule="auto"/>
        <w:jc w:val="both"/>
        <w:textAlignment w:val="center"/>
        <w:rPr>
          <w:rFonts w:ascii="Arial MT Std" w:eastAsiaTheme="minorHAnsi" w:hAnsi="Arial MT Std" w:cs="Arial MT Std"/>
          <w:color w:val="000000"/>
          <w:spacing w:val="-1"/>
          <w:sz w:val="16"/>
          <w:szCs w:val="16"/>
          <w:u w:val="thick" w:color="000000"/>
        </w:rPr>
      </w:pPr>
      <w:r>
        <w:rPr>
          <w:rFonts w:ascii="Arial MT Std" w:eastAsiaTheme="minorHAnsi" w:hAnsi="Arial MT Std" w:cs="Arial MT Std"/>
          <w:color w:val="000000"/>
          <w:spacing w:val="-1"/>
          <w:sz w:val="16"/>
          <w:szCs w:val="16"/>
        </w:rPr>
        <w:t xml:space="preserve">       </w:t>
      </w:r>
      <w:r w:rsidR="00501F87" w:rsidRPr="00501F87">
        <w:rPr>
          <w:rFonts w:ascii="Arial MT Std" w:eastAsiaTheme="minorHAnsi" w:hAnsi="Arial MT Std" w:cs="Arial MT Std"/>
          <w:color w:val="000000"/>
          <w:spacing w:val="-1"/>
          <w:sz w:val="16"/>
          <w:szCs w:val="16"/>
        </w:rPr>
        <w:t>Helena Laboratories, Corp.</w:t>
      </w:r>
      <w:r w:rsidRPr="00717D3D">
        <w:rPr>
          <w:rFonts w:ascii="Arial MT Std" w:eastAsiaTheme="minorHAnsi" w:hAnsi="Arial MT Std" w:cs="Arial MT Std"/>
          <w:color w:val="000000"/>
          <w:spacing w:val="-1"/>
          <w:sz w:val="10"/>
          <w:szCs w:val="10"/>
        </w:rPr>
        <w:t xml:space="preserve"> </w:t>
      </w:r>
    </w:p>
    <w:p w14:paraId="46B4ECF2" w14:textId="3867798E" w:rsidR="00501F87" w:rsidRPr="00501F87" w:rsidRDefault="00501F87" w:rsidP="00717D3D">
      <w:pPr>
        <w:widowControl/>
        <w:tabs>
          <w:tab w:val="left" w:pos="680"/>
          <w:tab w:val="left" w:pos="3975"/>
          <w:tab w:val="left" w:pos="7530"/>
        </w:tabs>
        <w:adjustRightInd w:val="0"/>
        <w:spacing w:line="288" w:lineRule="auto"/>
        <w:ind w:left="680"/>
        <w:textAlignment w:val="center"/>
        <w:rPr>
          <w:rFonts w:ascii="Arial MT Std" w:eastAsiaTheme="minorHAnsi" w:hAnsi="Arial MT Std" w:cs="Arial MT Std"/>
          <w:color w:val="000000"/>
          <w:sz w:val="16"/>
          <w:szCs w:val="16"/>
        </w:rPr>
      </w:pPr>
      <w:r w:rsidRPr="00501F87">
        <w:rPr>
          <w:rFonts w:ascii="Arial MT Std" w:eastAsiaTheme="minorHAnsi" w:hAnsi="Arial MT Std" w:cs="Arial MT Std"/>
          <w:color w:val="000000"/>
          <w:spacing w:val="-1"/>
          <w:sz w:val="16"/>
          <w:szCs w:val="16"/>
        </w:rPr>
        <w:t>1530 Lindbergh Drive</w:t>
      </w:r>
      <w:r w:rsidRPr="00501F87">
        <w:rPr>
          <w:rFonts w:ascii="Arial MT Std" w:eastAsiaTheme="minorHAnsi" w:hAnsi="Arial MT Std" w:cs="Arial MT Std"/>
          <w:color w:val="000000"/>
          <w:spacing w:val="-1"/>
          <w:sz w:val="16"/>
          <w:szCs w:val="16"/>
        </w:rPr>
        <w:br/>
        <w:t>Beaumont, TX 77707 USA</w:t>
      </w:r>
    </w:p>
    <w:p w14:paraId="25F2DC4D" w14:textId="5DBCC2D3" w:rsidR="00501F87" w:rsidRPr="00501F87" w:rsidRDefault="00501F87" w:rsidP="00501F87">
      <w:pPr>
        <w:widowControl/>
        <w:adjustRightInd w:val="0"/>
        <w:spacing w:line="288" w:lineRule="auto"/>
        <w:jc w:val="right"/>
        <w:textAlignment w:val="center"/>
        <w:rPr>
          <w:rFonts w:ascii="Arial MT Std" w:eastAsiaTheme="minorHAnsi" w:hAnsi="Arial MT Std" w:cs="Arial MT Std"/>
          <w:color w:val="000000"/>
          <w:spacing w:val="-1"/>
          <w:sz w:val="16"/>
          <w:szCs w:val="16"/>
        </w:rPr>
      </w:pPr>
    </w:p>
    <w:p w14:paraId="65229563" w14:textId="75059BF7" w:rsidR="00501F87" w:rsidRPr="00501F87" w:rsidRDefault="00501F87" w:rsidP="00717D3D">
      <w:pPr>
        <w:widowControl/>
        <w:adjustRightInd w:val="0"/>
        <w:spacing w:line="288" w:lineRule="auto"/>
        <w:textAlignment w:val="center"/>
        <w:rPr>
          <w:rFonts w:ascii="Arial MT Std" w:eastAsiaTheme="minorHAnsi" w:hAnsi="Arial MT Std" w:cs="Arial MT Std"/>
          <w:color w:val="000000"/>
          <w:spacing w:val="-1"/>
          <w:sz w:val="16"/>
          <w:szCs w:val="16"/>
        </w:rPr>
      </w:pPr>
      <w:r w:rsidRPr="00501F87">
        <w:rPr>
          <w:rFonts w:ascii="Arial MT Std" w:eastAsiaTheme="minorHAnsi" w:hAnsi="Arial MT Std" w:cs="Arial MT Std"/>
          <w:color w:val="000000"/>
          <w:spacing w:val="-1"/>
          <w:sz w:val="16"/>
          <w:szCs w:val="16"/>
        </w:rPr>
        <w:t>Pro 119</w:t>
      </w:r>
    </w:p>
    <w:p w14:paraId="0F556DD1" w14:textId="3C2CECA6" w:rsidR="00617EEF" w:rsidRPr="00501F87" w:rsidRDefault="00501F87" w:rsidP="00717D3D">
      <w:pPr>
        <w:widowControl/>
        <w:tabs>
          <w:tab w:val="left" w:pos="200"/>
        </w:tabs>
        <w:suppressAutoHyphens/>
        <w:adjustRightInd w:val="0"/>
        <w:spacing w:line="288" w:lineRule="auto"/>
        <w:textAlignment w:val="center"/>
        <w:rPr>
          <w:rFonts w:ascii="Arial MT Std" w:eastAsiaTheme="minorHAnsi" w:hAnsi="Arial MT Std" w:cs="Arial MT Std"/>
          <w:color w:val="000000"/>
          <w:sz w:val="16"/>
          <w:szCs w:val="16"/>
        </w:rPr>
      </w:pPr>
      <w:r w:rsidRPr="00501F87">
        <w:rPr>
          <w:rFonts w:ascii="Arial MT Std" w:eastAsiaTheme="minorHAnsi" w:hAnsi="Arial MT Std" w:cs="Arial MT Std"/>
          <w:color w:val="000000"/>
          <w:spacing w:val="-1"/>
          <w:sz w:val="16"/>
          <w:szCs w:val="16"/>
        </w:rPr>
        <w:t>12/22(7)</w:t>
      </w:r>
      <w:r w:rsidR="00717D3D" w:rsidRPr="00717D3D">
        <w:rPr>
          <w:rFonts w:ascii="Arial MT Std" w:eastAsiaTheme="minorHAnsi" w:hAnsi="Arial MT Std" w:cs="Arial MT Std"/>
          <w:color w:val="000000"/>
          <w:spacing w:val="-1"/>
          <w:sz w:val="10"/>
          <w:szCs w:val="10"/>
        </w:rPr>
        <w:t xml:space="preserve"> </w:t>
      </w:r>
    </w:p>
    <w:p w14:paraId="5B62AAEA" w14:textId="63D40A0F" w:rsidR="00617EEF" w:rsidRPr="00617EEF" w:rsidRDefault="00617EEF" w:rsidP="00617EEF">
      <w:pPr>
        <w:widowControl/>
        <w:tabs>
          <w:tab w:val="left" w:pos="200"/>
        </w:tabs>
        <w:suppressAutoHyphens/>
        <w:adjustRightInd w:val="0"/>
        <w:spacing w:line="288" w:lineRule="auto"/>
        <w:jc w:val="both"/>
        <w:textAlignment w:val="center"/>
        <w:rPr>
          <w:rFonts w:ascii="Arial MT Std" w:eastAsiaTheme="minorHAnsi" w:hAnsi="Arial MT Std" w:cs="Arial MT Std"/>
          <w:color w:val="000000"/>
          <w:sz w:val="14"/>
          <w:szCs w:val="14"/>
        </w:rPr>
      </w:pPr>
    </w:p>
    <w:p w14:paraId="11186EAF" w14:textId="4F182D12" w:rsidR="00D23863" w:rsidRPr="00717D3D" w:rsidRDefault="00717D3D" w:rsidP="00717D3D">
      <w:pPr>
        <w:widowControl/>
        <w:tabs>
          <w:tab w:val="left" w:pos="720"/>
          <w:tab w:val="left" w:pos="3975"/>
          <w:tab w:val="left" w:pos="7530"/>
        </w:tabs>
        <w:adjustRightInd w:val="0"/>
        <w:spacing w:line="288" w:lineRule="auto"/>
        <w:textAlignment w:val="center"/>
        <w:rPr>
          <w:rFonts w:ascii="Arial Narrow" w:eastAsiaTheme="minorHAnsi" w:hAnsi="Arial Narrow" w:cs="Arial Narrow"/>
          <w:color w:val="000000"/>
          <w:sz w:val="13"/>
          <w:szCs w:val="13"/>
        </w:rPr>
        <w:sectPr w:rsidR="00D23863" w:rsidRPr="00717D3D" w:rsidSect="00433416">
          <w:type w:val="continuous"/>
          <w:pgSz w:w="12330" w:h="15840"/>
          <w:pgMar w:top="360" w:right="560" w:bottom="280" w:left="680" w:header="720" w:footer="720" w:gutter="0"/>
          <w:cols w:space="4954"/>
        </w:sectPr>
      </w:pPr>
      <w:r w:rsidRPr="00717D3D">
        <w:rPr>
          <w:rFonts w:ascii="Arial MT Std" w:eastAsiaTheme="minorHAnsi" w:hAnsi="Arial MT Std" w:cs="Arial MT Std"/>
          <w:color w:val="000000"/>
          <w:spacing w:val="-1"/>
          <w:sz w:val="10"/>
          <w:szCs w:val="10"/>
        </w:rPr>
        <w:drawing>
          <wp:inline distT="0" distB="0" distL="0" distR="0" wp14:anchorId="6D85E766" wp14:editId="24B6408E">
            <wp:extent cx="1656383" cy="441702"/>
            <wp:effectExtent l="0" t="0" r="0" b="0"/>
            <wp:docPr id="1042379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79343" name=""/>
                    <pic:cNvPicPr/>
                  </pic:nvPicPr>
                  <pic:blipFill>
                    <a:blip r:embed="rId7"/>
                    <a:stretch>
                      <a:fillRect/>
                    </a:stretch>
                  </pic:blipFill>
                  <pic:spPr>
                    <a:xfrm>
                      <a:off x="0" y="0"/>
                      <a:ext cx="1708834" cy="455689"/>
                    </a:xfrm>
                    <a:prstGeom prst="rect">
                      <a:avLst/>
                    </a:prstGeom>
                  </pic:spPr>
                </pic:pic>
              </a:graphicData>
            </a:graphic>
          </wp:inline>
        </w:drawing>
      </w:r>
    </w:p>
    <w:p w14:paraId="1822444A" w14:textId="77777777" w:rsidR="00580141" w:rsidRDefault="00580141" w:rsidP="00CD4D21">
      <w:pPr>
        <w:spacing w:line="120" w:lineRule="exact"/>
        <w:sectPr w:rsidR="00580141">
          <w:type w:val="continuous"/>
          <w:pgSz w:w="12240" w:h="15840"/>
          <w:pgMar w:top="360" w:right="620" w:bottom="280" w:left="620" w:header="720" w:footer="720" w:gutter="0"/>
          <w:cols w:num="2" w:space="720" w:equalWidth="0">
            <w:col w:w="7257" w:space="40"/>
            <w:col w:w="3703"/>
          </w:cols>
        </w:sectPr>
      </w:pPr>
    </w:p>
    <w:p w14:paraId="74FBEAEB" w14:textId="764D9173" w:rsidR="00580141" w:rsidRDefault="00580141" w:rsidP="00CD4D21">
      <w:pPr>
        <w:spacing w:line="176" w:lineRule="exact"/>
        <w:ind w:right="1731"/>
        <w:rPr>
          <w:rFonts w:ascii="Arial Narrow"/>
          <w:sz w:val="16"/>
        </w:rPr>
      </w:pPr>
    </w:p>
    <w:sectPr w:rsidR="00580141">
      <w:type w:val="continuous"/>
      <w:pgSz w:w="12240" w:h="15840"/>
      <w:pgMar w:top="360" w:right="6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Arial Narrow MT Std">
    <w:altName w:val="Arial Narrow MT Std"/>
    <w:panose1 w:val="020B0506020202030204"/>
    <w:charset w:val="00"/>
    <w:family w:val="swiss"/>
    <w:notTrueType/>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MT Std">
    <w:altName w:val="Arial MT Std"/>
    <w:panose1 w:val="020B0402020200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B546A"/>
    <w:multiLevelType w:val="hybridMultilevel"/>
    <w:tmpl w:val="4A3AE5A4"/>
    <w:lvl w:ilvl="0" w:tplc="7E18BB88">
      <w:start w:val="1"/>
      <w:numFmt w:val="decimal"/>
      <w:lvlText w:val="%1."/>
      <w:lvlJc w:val="left"/>
      <w:pPr>
        <w:ind w:left="319" w:hanging="160"/>
      </w:pPr>
      <w:rPr>
        <w:rFonts w:ascii="Arial" w:eastAsia="Arial" w:hAnsi="Arial" w:cs="Arial" w:hint="default"/>
        <w:spacing w:val="-10"/>
        <w:w w:val="100"/>
        <w:sz w:val="12"/>
        <w:szCs w:val="12"/>
      </w:rPr>
    </w:lvl>
    <w:lvl w:ilvl="1" w:tplc="E8521CB6">
      <w:numFmt w:val="bullet"/>
      <w:lvlText w:val="•"/>
      <w:lvlJc w:val="left"/>
      <w:pPr>
        <w:ind w:left="804" w:hanging="160"/>
      </w:pPr>
      <w:rPr>
        <w:rFonts w:hint="default"/>
      </w:rPr>
    </w:lvl>
    <w:lvl w:ilvl="2" w:tplc="EAD4821A">
      <w:numFmt w:val="bullet"/>
      <w:lvlText w:val="•"/>
      <w:lvlJc w:val="left"/>
      <w:pPr>
        <w:ind w:left="1289" w:hanging="160"/>
      </w:pPr>
      <w:rPr>
        <w:rFonts w:hint="default"/>
      </w:rPr>
    </w:lvl>
    <w:lvl w:ilvl="3" w:tplc="A4F6E588">
      <w:numFmt w:val="bullet"/>
      <w:lvlText w:val="•"/>
      <w:lvlJc w:val="left"/>
      <w:pPr>
        <w:ind w:left="1774" w:hanging="160"/>
      </w:pPr>
      <w:rPr>
        <w:rFonts w:hint="default"/>
      </w:rPr>
    </w:lvl>
    <w:lvl w:ilvl="4" w:tplc="399C6972">
      <w:numFmt w:val="bullet"/>
      <w:lvlText w:val="•"/>
      <w:lvlJc w:val="left"/>
      <w:pPr>
        <w:ind w:left="2259" w:hanging="160"/>
      </w:pPr>
      <w:rPr>
        <w:rFonts w:hint="default"/>
      </w:rPr>
    </w:lvl>
    <w:lvl w:ilvl="5" w:tplc="93EAE696">
      <w:numFmt w:val="bullet"/>
      <w:lvlText w:val="•"/>
      <w:lvlJc w:val="left"/>
      <w:pPr>
        <w:ind w:left="2744" w:hanging="160"/>
      </w:pPr>
      <w:rPr>
        <w:rFonts w:hint="default"/>
      </w:rPr>
    </w:lvl>
    <w:lvl w:ilvl="6" w:tplc="C380A738">
      <w:numFmt w:val="bullet"/>
      <w:lvlText w:val="•"/>
      <w:lvlJc w:val="left"/>
      <w:pPr>
        <w:ind w:left="3228" w:hanging="160"/>
      </w:pPr>
      <w:rPr>
        <w:rFonts w:hint="default"/>
      </w:rPr>
    </w:lvl>
    <w:lvl w:ilvl="7" w:tplc="A05C913A">
      <w:numFmt w:val="bullet"/>
      <w:lvlText w:val="•"/>
      <w:lvlJc w:val="left"/>
      <w:pPr>
        <w:ind w:left="3713" w:hanging="160"/>
      </w:pPr>
      <w:rPr>
        <w:rFonts w:hint="default"/>
      </w:rPr>
    </w:lvl>
    <w:lvl w:ilvl="8" w:tplc="CF6E5000">
      <w:numFmt w:val="bullet"/>
      <w:lvlText w:val="•"/>
      <w:lvlJc w:val="left"/>
      <w:pPr>
        <w:ind w:left="4198" w:hanging="160"/>
      </w:pPr>
      <w:rPr>
        <w:rFonts w:hint="default"/>
      </w:rPr>
    </w:lvl>
  </w:abstractNum>
  <w:abstractNum w:abstractNumId="1"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 w15:restartNumberingAfterBreak="0">
    <w:nsid w:val="32B15DF6"/>
    <w:multiLevelType w:val="hybridMultilevel"/>
    <w:tmpl w:val="F714453A"/>
    <w:lvl w:ilvl="0" w:tplc="44781676">
      <w:numFmt w:val="bullet"/>
      <w:lvlText w:val="•"/>
      <w:lvlJc w:val="left"/>
      <w:pPr>
        <w:ind w:left="320" w:hanging="160"/>
      </w:pPr>
      <w:rPr>
        <w:rFonts w:ascii="Arial" w:eastAsia="Arial" w:hAnsi="Arial" w:cs="Arial" w:hint="default"/>
        <w:spacing w:val="-16"/>
        <w:w w:val="90"/>
        <w:sz w:val="12"/>
        <w:szCs w:val="12"/>
      </w:rPr>
    </w:lvl>
    <w:lvl w:ilvl="1" w:tplc="0526F6BE">
      <w:numFmt w:val="bullet"/>
      <w:lvlText w:val="•"/>
      <w:lvlJc w:val="left"/>
      <w:pPr>
        <w:ind w:left="804" w:hanging="160"/>
      </w:pPr>
      <w:rPr>
        <w:rFonts w:hint="default"/>
      </w:rPr>
    </w:lvl>
    <w:lvl w:ilvl="2" w:tplc="92C870A0">
      <w:numFmt w:val="bullet"/>
      <w:lvlText w:val="•"/>
      <w:lvlJc w:val="left"/>
      <w:pPr>
        <w:ind w:left="1289" w:hanging="160"/>
      </w:pPr>
      <w:rPr>
        <w:rFonts w:hint="default"/>
      </w:rPr>
    </w:lvl>
    <w:lvl w:ilvl="3" w:tplc="0FA472AA">
      <w:numFmt w:val="bullet"/>
      <w:lvlText w:val="•"/>
      <w:lvlJc w:val="left"/>
      <w:pPr>
        <w:ind w:left="1774" w:hanging="160"/>
      </w:pPr>
      <w:rPr>
        <w:rFonts w:hint="default"/>
      </w:rPr>
    </w:lvl>
    <w:lvl w:ilvl="4" w:tplc="5028A594">
      <w:numFmt w:val="bullet"/>
      <w:lvlText w:val="•"/>
      <w:lvlJc w:val="left"/>
      <w:pPr>
        <w:ind w:left="2259" w:hanging="160"/>
      </w:pPr>
      <w:rPr>
        <w:rFonts w:hint="default"/>
      </w:rPr>
    </w:lvl>
    <w:lvl w:ilvl="5" w:tplc="991A1FF0">
      <w:numFmt w:val="bullet"/>
      <w:lvlText w:val="•"/>
      <w:lvlJc w:val="left"/>
      <w:pPr>
        <w:ind w:left="2744" w:hanging="160"/>
      </w:pPr>
      <w:rPr>
        <w:rFonts w:hint="default"/>
      </w:rPr>
    </w:lvl>
    <w:lvl w:ilvl="6" w:tplc="7AF222D8">
      <w:numFmt w:val="bullet"/>
      <w:lvlText w:val="•"/>
      <w:lvlJc w:val="left"/>
      <w:pPr>
        <w:ind w:left="3228" w:hanging="160"/>
      </w:pPr>
      <w:rPr>
        <w:rFonts w:hint="default"/>
      </w:rPr>
    </w:lvl>
    <w:lvl w:ilvl="7" w:tplc="3D5A1F34">
      <w:numFmt w:val="bullet"/>
      <w:lvlText w:val="•"/>
      <w:lvlJc w:val="left"/>
      <w:pPr>
        <w:ind w:left="3713" w:hanging="160"/>
      </w:pPr>
      <w:rPr>
        <w:rFonts w:hint="default"/>
      </w:rPr>
    </w:lvl>
    <w:lvl w:ilvl="8" w:tplc="6D027FC0">
      <w:numFmt w:val="bullet"/>
      <w:lvlText w:val="•"/>
      <w:lvlJc w:val="left"/>
      <w:pPr>
        <w:ind w:left="4198" w:hanging="160"/>
      </w:pPr>
      <w:rPr>
        <w:rFonts w:hint="default"/>
      </w:rPr>
    </w:lvl>
  </w:abstractNum>
  <w:abstractNum w:abstractNumId="3"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4" w15:restartNumberingAfterBreak="0">
    <w:nsid w:val="5DC75870"/>
    <w:multiLevelType w:val="hybridMultilevel"/>
    <w:tmpl w:val="2D08EA5C"/>
    <w:lvl w:ilvl="0" w:tplc="5A04CCD6">
      <w:start w:val="1"/>
      <w:numFmt w:val="decimal"/>
      <w:lvlText w:val="%1."/>
      <w:lvlJc w:val="left"/>
      <w:pPr>
        <w:ind w:left="359" w:hanging="240"/>
      </w:pPr>
      <w:rPr>
        <w:rFonts w:ascii="Arial" w:eastAsia="Arial" w:hAnsi="Arial" w:cs="Arial" w:hint="default"/>
        <w:spacing w:val="-15"/>
        <w:w w:val="100"/>
        <w:sz w:val="12"/>
        <w:szCs w:val="12"/>
      </w:rPr>
    </w:lvl>
    <w:lvl w:ilvl="1" w:tplc="A2CC028C">
      <w:numFmt w:val="bullet"/>
      <w:lvlText w:val="•"/>
      <w:lvlJc w:val="left"/>
      <w:pPr>
        <w:ind w:left="851" w:hanging="240"/>
      </w:pPr>
      <w:rPr>
        <w:rFonts w:hint="default"/>
      </w:rPr>
    </w:lvl>
    <w:lvl w:ilvl="2" w:tplc="2488D732">
      <w:numFmt w:val="bullet"/>
      <w:lvlText w:val="•"/>
      <w:lvlJc w:val="left"/>
      <w:pPr>
        <w:ind w:left="1343" w:hanging="240"/>
      </w:pPr>
      <w:rPr>
        <w:rFonts w:hint="default"/>
      </w:rPr>
    </w:lvl>
    <w:lvl w:ilvl="3" w:tplc="13F874F2">
      <w:numFmt w:val="bullet"/>
      <w:lvlText w:val="•"/>
      <w:lvlJc w:val="left"/>
      <w:pPr>
        <w:ind w:left="1834" w:hanging="240"/>
      </w:pPr>
      <w:rPr>
        <w:rFonts w:hint="default"/>
      </w:rPr>
    </w:lvl>
    <w:lvl w:ilvl="4" w:tplc="0700D9D8">
      <w:numFmt w:val="bullet"/>
      <w:lvlText w:val="•"/>
      <w:lvlJc w:val="left"/>
      <w:pPr>
        <w:ind w:left="2326" w:hanging="240"/>
      </w:pPr>
      <w:rPr>
        <w:rFonts w:hint="default"/>
      </w:rPr>
    </w:lvl>
    <w:lvl w:ilvl="5" w:tplc="C9EE562E">
      <w:numFmt w:val="bullet"/>
      <w:lvlText w:val="•"/>
      <w:lvlJc w:val="left"/>
      <w:pPr>
        <w:ind w:left="2817" w:hanging="240"/>
      </w:pPr>
      <w:rPr>
        <w:rFonts w:hint="default"/>
      </w:rPr>
    </w:lvl>
    <w:lvl w:ilvl="6" w:tplc="81541B12">
      <w:numFmt w:val="bullet"/>
      <w:lvlText w:val="•"/>
      <w:lvlJc w:val="left"/>
      <w:pPr>
        <w:ind w:left="3309" w:hanging="240"/>
      </w:pPr>
      <w:rPr>
        <w:rFonts w:hint="default"/>
      </w:rPr>
    </w:lvl>
    <w:lvl w:ilvl="7" w:tplc="EB56DBC0">
      <w:numFmt w:val="bullet"/>
      <w:lvlText w:val="•"/>
      <w:lvlJc w:val="left"/>
      <w:pPr>
        <w:ind w:left="3800" w:hanging="240"/>
      </w:pPr>
      <w:rPr>
        <w:rFonts w:hint="default"/>
      </w:rPr>
    </w:lvl>
    <w:lvl w:ilvl="8" w:tplc="180E23C0">
      <w:numFmt w:val="bullet"/>
      <w:lvlText w:val="•"/>
      <w:lvlJc w:val="left"/>
      <w:pPr>
        <w:ind w:left="4292" w:hanging="240"/>
      </w:pPr>
      <w:rPr>
        <w:rFonts w:hint="default"/>
      </w:rPr>
    </w:lvl>
  </w:abstractNum>
  <w:abstractNum w:abstractNumId="5" w15:restartNumberingAfterBreak="0">
    <w:nsid w:val="66214CFE"/>
    <w:multiLevelType w:val="hybridMultilevel"/>
    <w:tmpl w:val="05D624A0"/>
    <w:lvl w:ilvl="0" w:tplc="65D8968C">
      <w:start w:val="1"/>
      <w:numFmt w:val="decimal"/>
      <w:lvlText w:val="%1."/>
      <w:lvlJc w:val="left"/>
      <w:pPr>
        <w:ind w:left="359" w:hanging="240"/>
      </w:pPr>
      <w:rPr>
        <w:rFonts w:ascii="Arial" w:eastAsia="Arial" w:hAnsi="Arial" w:cs="Arial" w:hint="default"/>
        <w:spacing w:val="-11"/>
        <w:w w:val="100"/>
        <w:sz w:val="12"/>
        <w:szCs w:val="12"/>
      </w:rPr>
    </w:lvl>
    <w:lvl w:ilvl="1" w:tplc="25BCF020">
      <w:numFmt w:val="bullet"/>
      <w:lvlText w:val="•"/>
      <w:lvlJc w:val="left"/>
      <w:pPr>
        <w:ind w:left="851" w:hanging="240"/>
      </w:pPr>
      <w:rPr>
        <w:rFonts w:hint="default"/>
      </w:rPr>
    </w:lvl>
    <w:lvl w:ilvl="2" w:tplc="8AB264C8">
      <w:numFmt w:val="bullet"/>
      <w:lvlText w:val="•"/>
      <w:lvlJc w:val="left"/>
      <w:pPr>
        <w:ind w:left="1343" w:hanging="240"/>
      </w:pPr>
      <w:rPr>
        <w:rFonts w:hint="default"/>
      </w:rPr>
    </w:lvl>
    <w:lvl w:ilvl="3" w:tplc="D4BA692E">
      <w:numFmt w:val="bullet"/>
      <w:lvlText w:val="•"/>
      <w:lvlJc w:val="left"/>
      <w:pPr>
        <w:ind w:left="1834" w:hanging="240"/>
      </w:pPr>
      <w:rPr>
        <w:rFonts w:hint="default"/>
      </w:rPr>
    </w:lvl>
    <w:lvl w:ilvl="4" w:tplc="90DA7164">
      <w:numFmt w:val="bullet"/>
      <w:lvlText w:val="•"/>
      <w:lvlJc w:val="left"/>
      <w:pPr>
        <w:ind w:left="2326" w:hanging="240"/>
      </w:pPr>
      <w:rPr>
        <w:rFonts w:hint="default"/>
      </w:rPr>
    </w:lvl>
    <w:lvl w:ilvl="5" w:tplc="695C660A">
      <w:numFmt w:val="bullet"/>
      <w:lvlText w:val="•"/>
      <w:lvlJc w:val="left"/>
      <w:pPr>
        <w:ind w:left="2817" w:hanging="240"/>
      </w:pPr>
      <w:rPr>
        <w:rFonts w:hint="default"/>
      </w:rPr>
    </w:lvl>
    <w:lvl w:ilvl="6" w:tplc="F18ADB88">
      <w:numFmt w:val="bullet"/>
      <w:lvlText w:val="•"/>
      <w:lvlJc w:val="left"/>
      <w:pPr>
        <w:ind w:left="3309" w:hanging="240"/>
      </w:pPr>
      <w:rPr>
        <w:rFonts w:hint="default"/>
      </w:rPr>
    </w:lvl>
    <w:lvl w:ilvl="7" w:tplc="8D00C87C">
      <w:numFmt w:val="bullet"/>
      <w:lvlText w:val="•"/>
      <w:lvlJc w:val="left"/>
      <w:pPr>
        <w:ind w:left="3800" w:hanging="240"/>
      </w:pPr>
      <w:rPr>
        <w:rFonts w:hint="default"/>
      </w:rPr>
    </w:lvl>
    <w:lvl w:ilvl="8" w:tplc="E7BCCA44">
      <w:numFmt w:val="bullet"/>
      <w:lvlText w:val="•"/>
      <w:lvlJc w:val="left"/>
      <w:pPr>
        <w:ind w:left="4292" w:hanging="240"/>
      </w:pPr>
      <w:rPr>
        <w:rFonts w:hint="default"/>
      </w:rPr>
    </w:lvl>
  </w:abstractNum>
  <w:num w:numId="1" w16cid:durableId="452136496">
    <w:abstractNumId w:val="4"/>
  </w:num>
  <w:num w:numId="2" w16cid:durableId="849637152">
    <w:abstractNumId w:val="5"/>
  </w:num>
  <w:num w:numId="3" w16cid:durableId="1377392685">
    <w:abstractNumId w:val="0"/>
  </w:num>
  <w:num w:numId="4" w16cid:durableId="301008083">
    <w:abstractNumId w:val="2"/>
  </w:num>
  <w:num w:numId="5" w16cid:durableId="475335970">
    <w:abstractNumId w:val="3"/>
  </w:num>
  <w:num w:numId="6" w16cid:durableId="295382386">
    <w:abstractNumId w:val="1"/>
  </w:num>
  <w:num w:numId="7" w16cid:durableId="18474778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8"/>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580141"/>
    <w:rsid w:val="00184AD2"/>
    <w:rsid w:val="001D4AFE"/>
    <w:rsid w:val="003E5B82"/>
    <w:rsid w:val="00501F87"/>
    <w:rsid w:val="00580141"/>
    <w:rsid w:val="00617EEF"/>
    <w:rsid w:val="00717D3D"/>
    <w:rsid w:val="00A84323"/>
    <w:rsid w:val="00CD4D21"/>
    <w:rsid w:val="00D23863"/>
    <w:rsid w:val="00DB3F4F"/>
    <w:rsid w:val="00ED4CAD"/>
    <w:rsid w:val="00EF74B7"/>
    <w:rsid w:val="00F76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B0629"/>
  <w15:docId w15:val="{EACDAF8D-7066-4BC2-B93A-670A7ABB0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31"/>
      <w:outlineLvl w:val="0"/>
    </w:pPr>
    <w:rPr>
      <w:b/>
      <w:bCs/>
      <w:sz w:val="21"/>
      <w:szCs w:val="21"/>
    </w:rPr>
  </w:style>
  <w:style w:type="paragraph" w:styleId="Heading2">
    <w:name w:val="heading 2"/>
    <w:basedOn w:val="Normal"/>
    <w:uiPriority w:val="1"/>
    <w:qFormat/>
    <w:pPr>
      <w:spacing w:before="31" w:line="183" w:lineRule="exact"/>
      <w:ind w:left="160"/>
      <w:jc w:val="both"/>
      <w:outlineLvl w:val="1"/>
    </w:pPr>
    <w:rPr>
      <w:b/>
      <w:bCs/>
      <w:sz w:val="16"/>
      <w:szCs w:val="16"/>
    </w:rPr>
  </w:style>
  <w:style w:type="paragraph" w:styleId="Heading3">
    <w:name w:val="heading 3"/>
    <w:basedOn w:val="Normal"/>
    <w:uiPriority w:val="1"/>
    <w:qFormat/>
    <w:pPr>
      <w:ind w:left="839"/>
      <w:outlineLvl w:val="2"/>
    </w:pPr>
    <w:rPr>
      <w:sz w:val="14"/>
      <w:szCs w:val="14"/>
    </w:rPr>
  </w:style>
  <w:style w:type="paragraph" w:styleId="Heading4">
    <w:name w:val="heading 4"/>
    <w:basedOn w:val="Normal"/>
    <w:uiPriority w:val="1"/>
    <w:qFormat/>
    <w:pPr>
      <w:spacing w:before="6"/>
      <w:ind w:left="120"/>
      <w:outlineLvl w:val="3"/>
    </w:pPr>
    <w:rPr>
      <w:b/>
      <w:bCs/>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jc w:val="both"/>
    </w:pPr>
    <w:rPr>
      <w:sz w:val="12"/>
      <w:szCs w:val="12"/>
    </w:rPr>
  </w:style>
  <w:style w:type="paragraph" w:styleId="ListParagraph">
    <w:name w:val="List Paragraph"/>
    <w:basedOn w:val="Normal"/>
    <w:uiPriority w:val="1"/>
    <w:qFormat/>
    <w:pPr>
      <w:ind w:left="319" w:hanging="160"/>
      <w:jc w:val="both"/>
    </w:pPr>
  </w:style>
  <w:style w:type="paragraph" w:customStyle="1" w:styleId="TableParagraph">
    <w:name w:val="Table Paragraph"/>
    <w:basedOn w:val="Normal"/>
    <w:uiPriority w:val="1"/>
    <w:qFormat/>
    <w:pPr>
      <w:spacing w:before="21"/>
    </w:pPr>
    <w:rPr>
      <w:rFonts w:ascii="Arial Narrow" w:eastAsia="Arial Narrow" w:hAnsi="Arial Narrow" w:cs="Arial Narrow"/>
    </w:rPr>
  </w:style>
  <w:style w:type="paragraph" w:customStyle="1" w:styleId="DefaultText">
    <w:name w:val="Default Text"/>
    <w:basedOn w:val="Normal"/>
    <w:rsid w:val="00D23863"/>
    <w:pPr>
      <w:widowControl/>
      <w:overflowPunct w:val="0"/>
      <w:adjustRightInd w:val="0"/>
      <w:textAlignment w:val="baseline"/>
    </w:pPr>
    <w:rPr>
      <w:rFonts w:ascii="Times New Roman" w:eastAsia="Times New Roman" w:hAnsi="Times New Roman" w:cs="Times New Roman"/>
      <w:sz w:val="20"/>
      <w:szCs w:val="20"/>
    </w:rPr>
  </w:style>
  <w:style w:type="paragraph" w:customStyle="1" w:styleId="PROtitle">
    <w:name w:val="PRO title"/>
    <w:basedOn w:val="Normal"/>
    <w:uiPriority w:val="99"/>
    <w:rsid w:val="00CD4D21"/>
    <w:pPr>
      <w:widowControl/>
      <w:adjustRightInd w:val="0"/>
      <w:spacing w:line="288" w:lineRule="auto"/>
      <w:textAlignment w:val="center"/>
    </w:pPr>
    <w:rPr>
      <w:rFonts w:eastAsiaTheme="minorHAnsi"/>
      <w:b/>
      <w:bCs/>
      <w:color w:val="000000"/>
    </w:rPr>
  </w:style>
  <w:style w:type="paragraph" w:customStyle="1" w:styleId="txt">
    <w:name w:val="txt"/>
    <w:basedOn w:val="Normal"/>
    <w:uiPriority w:val="99"/>
    <w:rsid w:val="00CD4D21"/>
    <w:pPr>
      <w:widowControl/>
      <w:suppressAutoHyphens/>
      <w:adjustRightInd w:val="0"/>
      <w:spacing w:after="40" w:line="288" w:lineRule="auto"/>
      <w:textAlignment w:val="center"/>
    </w:pPr>
    <w:rPr>
      <w:rFonts w:ascii="Arial Narrow" w:eastAsiaTheme="minorHAnsi" w:hAnsi="Arial Narrow" w:cs="Arial Narrow"/>
      <w:b/>
      <w:bCs/>
      <w:color w:val="000000"/>
      <w:sz w:val="16"/>
      <w:szCs w:val="16"/>
    </w:rPr>
  </w:style>
  <w:style w:type="paragraph" w:customStyle="1" w:styleId="NoParagraphStyle">
    <w:name w:val="[No Paragraph Style]"/>
    <w:rsid w:val="00CD4D21"/>
    <w:pPr>
      <w:widowControl/>
      <w:adjustRightInd w:val="0"/>
      <w:spacing w:line="288" w:lineRule="auto"/>
      <w:textAlignment w:val="center"/>
    </w:pPr>
    <w:rPr>
      <w:rFonts w:ascii="Times" w:hAnsi="Times" w:cs="Times"/>
      <w:color w:val="000000"/>
      <w:sz w:val="24"/>
      <w:szCs w:val="24"/>
    </w:rPr>
  </w:style>
  <w:style w:type="paragraph" w:customStyle="1" w:styleId="HeaderCAPS">
    <w:name w:val="Header CAPS"/>
    <w:basedOn w:val="NoParagraphStyle"/>
    <w:uiPriority w:val="99"/>
    <w:rsid w:val="00CD4D21"/>
    <w:pPr>
      <w:spacing w:before="20"/>
    </w:pPr>
    <w:rPr>
      <w:rFonts w:ascii="Arial" w:hAnsi="Arial" w:cs="Arial"/>
      <w:b/>
      <w:bCs/>
      <w:caps/>
      <w:sz w:val="16"/>
      <w:szCs w:val="16"/>
    </w:rPr>
  </w:style>
  <w:style w:type="paragraph" w:customStyle="1" w:styleId="BodyCopy">
    <w:name w:val="Body Copy"/>
    <w:basedOn w:val="NoParagraphStyle"/>
    <w:uiPriority w:val="99"/>
    <w:rsid w:val="00CD4D21"/>
    <w:pPr>
      <w:tabs>
        <w:tab w:val="left" w:pos="160"/>
        <w:tab w:val="left" w:pos="320"/>
      </w:tabs>
      <w:suppressAutoHyphens/>
      <w:jc w:val="both"/>
    </w:pPr>
    <w:rPr>
      <w:rFonts w:ascii="Arial" w:hAnsi="Arial" w:cs="Arial"/>
      <w:spacing w:val="-1"/>
      <w:sz w:val="12"/>
      <w:szCs w:val="12"/>
    </w:rPr>
  </w:style>
  <w:style w:type="paragraph" w:styleId="Header">
    <w:name w:val="header"/>
    <w:basedOn w:val="NoParagraphStyle"/>
    <w:link w:val="HeaderChar"/>
    <w:uiPriority w:val="99"/>
    <w:rsid w:val="00CD4D21"/>
    <w:pPr>
      <w:spacing w:before="20"/>
    </w:pPr>
    <w:rPr>
      <w:rFonts w:ascii="Arial" w:hAnsi="Arial" w:cs="Arial"/>
      <w:b/>
      <w:bCs/>
      <w:sz w:val="11"/>
      <w:szCs w:val="11"/>
    </w:rPr>
  </w:style>
  <w:style w:type="character" w:customStyle="1" w:styleId="HeaderChar">
    <w:name w:val="Header Char"/>
    <w:basedOn w:val="DefaultParagraphFont"/>
    <w:link w:val="Header"/>
    <w:uiPriority w:val="99"/>
    <w:rsid w:val="00CD4D21"/>
    <w:rPr>
      <w:rFonts w:ascii="Arial" w:hAnsi="Arial" w:cs="Arial"/>
      <w:b/>
      <w:bCs/>
      <w:color w:val="000000"/>
      <w:sz w:val="11"/>
      <w:szCs w:val="11"/>
    </w:rPr>
  </w:style>
  <w:style w:type="paragraph" w:customStyle="1" w:styleId="HeaderCAPS-7pt">
    <w:name w:val="Header CAPS - 7pt"/>
    <w:basedOn w:val="NoParagraphStyle"/>
    <w:uiPriority w:val="99"/>
    <w:rsid w:val="00CD4D21"/>
    <w:pPr>
      <w:spacing w:before="20"/>
    </w:pPr>
    <w:rPr>
      <w:rFonts w:ascii="Arial" w:hAnsi="Arial" w:cs="Arial"/>
      <w:b/>
      <w:bCs/>
      <w:caps/>
      <w:sz w:val="14"/>
      <w:szCs w:val="14"/>
    </w:rPr>
  </w:style>
  <w:style w:type="paragraph" w:customStyle="1" w:styleId="BodyCopy-6pt">
    <w:name w:val="Body Copy - 6 pt"/>
    <w:basedOn w:val="NoParagraphStyle"/>
    <w:uiPriority w:val="99"/>
    <w:rsid w:val="00CD4D21"/>
    <w:pPr>
      <w:tabs>
        <w:tab w:val="left" w:pos="200"/>
      </w:tabs>
      <w:suppressAutoHyphens/>
      <w:jc w:val="both"/>
    </w:pPr>
    <w:rPr>
      <w:rFonts w:ascii="Arial" w:hAnsi="Arial" w:cs="Arial"/>
      <w:spacing w:val="-1"/>
      <w:sz w:val="12"/>
      <w:szCs w:val="12"/>
    </w:rPr>
  </w:style>
  <w:style w:type="paragraph" w:customStyle="1" w:styleId="Text">
    <w:name w:val="Text"/>
    <w:basedOn w:val="BodyCopy"/>
    <w:uiPriority w:val="99"/>
    <w:rsid w:val="00CD4D21"/>
  </w:style>
  <w:style w:type="character" w:customStyle="1" w:styleId="Highlight">
    <w:name w:val="Highlight"/>
    <w:uiPriority w:val="99"/>
    <w:rsid w:val="00CD4D21"/>
    <w:rPr>
      <w:rFonts w:ascii="Arial Narrow MT Std" w:hAnsi="Arial Narrow MT Std" w:cs="Arial Narrow MT Std"/>
      <w:position w:val="0"/>
      <w:sz w:val="14"/>
      <w:szCs w:val="14"/>
      <w:u w:val="thick" w:color="000000"/>
    </w:rPr>
  </w:style>
  <w:style w:type="character" w:customStyle="1" w:styleId="Text1">
    <w:name w:val="Text1"/>
    <w:uiPriority w:val="99"/>
    <w:rsid w:val="00CD4D21"/>
    <w:rPr>
      <w:rFonts w:ascii="Helvetica" w:hAnsi="Helvetica" w:cs="Helvetica"/>
      <w:color w:val="000000"/>
      <w:spacing w:val="0"/>
      <w:w w:val="100"/>
      <w:position w:val="0"/>
      <w:sz w:val="16"/>
      <w:szCs w:val="16"/>
      <w:u w:val="none"/>
      <w:vertAlign w:val="baseline"/>
    </w:rPr>
  </w:style>
  <w:style w:type="paragraph" w:customStyle="1" w:styleId="Heads">
    <w:name w:val="Heads"/>
    <w:basedOn w:val="BodyCopy"/>
    <w:uiPriority w:val="99"/>
    <w:rsid w:val="00184AD2"/>
    <w:pPr>
      <w:tabs>
        <w:tab w:val="clear" w:pos="160"/>
        <w:tab w:val="clear" w:pos="320"/>
        <w:tab w:val="left" w:pos="200"/>
      </w:tabs>
      <w:spacing w:before="40"/>
    </w:pPr>
    <w:rPr>
      <w:rFonts w:ascii="Helvetica" w:hAnsi="Helvetica" w:cs="Helvetica"/>
      <w:b/>
      <w:bCs/>
      <w:caps/>
      <w:sz w:val="14"/>
      <w:szCs w:val="14"/>
    </w:rPr>
  </w:style>
  <w:style w:type="paragraph" w:customStyle="1" w:styleId="BODYCOPBOLD">
    <w:name w:val="BODY COP BOLD"/>
    <w:basedOn w:val="NoParagraphStyle"/>
    <w:uiPriority w:val="99"/>
    <w:rsid w:val="00184AD2"/>
    <w:pPr>
      <w:tabs>
        <w:tab w:val="left" w:pos="200"/>
        <w:tab w:val="left" w:pos="360"/>
      </w:tabs>
      <w:spacing w:before="40"/>
      <w:jc w:val="both"/>
    </w:pPr>
    <w:rPr>
      <w:rFonts w:ascii="Helvetica" w:hAnsi="Helvetica" w:cs="Helvetica"/>
      <w:b/>
      <w:bCs/>
      <w:sz w:val="12"/>
      <w:szCs w:val="12"/>
    </w:rPr>
  </w:style>
  <w:style w:type="paragraph" w:customStyle="1" w:styleId="Headsbold7">
    <w:name w:val="Heads bold 7"/>
    <w:basedOn w:val="Heads"/>
    <w:uiPriority w:val="99"/>
    <w:rsid w:val="00184AD2"/>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747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7</Pages>
  <Words>3214</Words>
  <Characters>18320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Juliana Spencer</cp:lastModifiedBy>
  <cp:revision>9</cp:revision>
  <dcterms:created xsi:type="dcterms:W3CDTF">2017-03-13T14:51:00Z</dcterms:created>
  <dcterms:modified xsi:type="dcterms:W3CDTF">2023-06-08T19:00:00Z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2015-04-17T00:00:00Z</vt:filetime>
  </property>
  <property fmtid="{D5CDD505-2E9C-101B-9397-08002B2CF9AE}" pid="3" name="Creator">
    <vt:lpwstr>Adobe InDesign CS6 (Macintosh)</vt:lpwstr>
  </property>
  <property fmtid="{D5CDD505-2E9C-101B-9397-08002B2CF9AE}" pid="4" name="LastSaved">
    <vt:filetime>2017-03-13T00:00:00Z</vt:filetime>
  </property>
</Properties>
</file>