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A2475" w14:textId="77777777" w:rsidR="00D23863" w:rsidRPr="00E847A6" w:rsidRDefault="00D23863" w:rsidP="00D23863">
      <w:pPr>
        <w:pStyle w:val="DefaultText"/>
        <w:rPr>
          <w:rFonts w:ascii="Arial" w:hAnsi="Arial" w:cs="Arial"/>
          <w:i/>
          <w:sz w:val="22"/>
        </w:rPr>
      </w:pPr>
      <w:r w:rsidRPr="00E847A6">
        <w:rPr>
          <w:rFonts w:ascii="Arial" w:hAnsi="Arial" w:cs="Arial"/>
          <w:i/>
          <w:sz w:val="22"/>
        </w:rPr>
        <w:t>PLEASE READ!!</w:t>
      </w:r>
    </w:p>
    <w:p w14:paraId="0CA57EF7" w14:textId="77777777" w:rsidR="00D23863" w:rsidRPr="00AD69B8" w:rsidRDefault="00D23863" w:rsidP="00D23863">
      <w:pPr>
        <w:pStyle w:val="DefaultText"/>
        <w:rPr>
          <w:rFonts w:ascii="Arial" w:hAnsi="Arial" w:cs="Arial"/>
          <w:sz w:val="22"/>
        </w:rPr>
      </w:pPr>
    </w:p>
    <w:p w14:paraId="440470C5" w14:textId="77777777" w:rsidR="00D23863" w:rsidRPr="00AD69B8" w:rsidRDefault="00D23863" w:rsidP="00D23863">
      <w:pPr>
        <w:pStyle w:val="DefaultText"/>
        <w:rPr>
          <w:rFonts w:ascii="Arial" w:hAnsi="Arial" w:cs="Arial"/>
          <w:sz w:val="22"/>
        </w:rPr>
      </w:pPr>
    </w:p>
    <w:p w14:paraId="79670164" w14:textId="77777777" w:rsidR="00D23863" w:rsidRPr="00AD69B8" w:rsidRDefault="00D23863" w:rsidP="00D23863">
      <w:pPr>
        <w:pStyle w:val="DefaultText"/>
        <w:rPr>
          <w:rFonts w:ascii="Arial" w:hAnsi="Arial" w:cs="Arial"/>
          <w:sz w:val="22"/>
        </w:rPr>
      </w:pPr>
    </w:p>
    <w:p w14:paraId="7FAD52A2" w14:textId="77777777" w:rsidR="00D23863" w:rsidRPr="00817BDC" w:rsidRDefault="00D23863" w:rsidP="00D23863">
      <w:pPr>
        <w:pStyle w:val="DefaultText"/>
        <w:rPr>
          <w:rFonts w:ascii="Arial" w:hAnsi="Arial" w:cs="Arial"/>
          <w:b/>
          <w:sz w:val="22"/>
        </w:rPr>
      </w:pPr>
      <w:r w:rsidRPr="00817BDC">
        <w:rPr>
          <w:rFonts w:ascii="Arial" w:hAnsi="Arial" w:cs="Arial"/>
          <w:b/>
          <w:sz w:val="22"/>
        </w:rPr>
        <w:t>HELENA LABORATORIES</w:t>
      </w:r>
    </w:p>
    <w:p w14:paraId="3748140D" w14:textId="77777777" w:rsidR="00D23863" w:rsidRPr="00817BDC" w:rsidRDefault="00D23863" w:rsidP="00D23863">
      <w:pPr>
        <w:pStyle w:val="DefaultText"/>
        <w:rPr>
          <w:rFonts w:ascii="Arial" w:hAnsi="Arial" w:cs="Arial"/>
          <w:b/>
          <w:sz w:val="22"/>
        </w:rPr>
      </w:pPr>
      <w:r w:rsidRPr="00817BDC">
        <w:rPr>
          <w:rFonts w:ascii="Arial" w:hAnsi="Arial" w:cs="Arial"/>
          <w:b/>
          <w:sz w:val="22"/>
        </w:rPr>
        <w:t>PROCEDURE DOWNLOAD END USER AGREEMENT</w:t>
      </w:r>
    </w:p>
    <w:p w14:paraId="633612A8" w14:textId="77777777" w:rsidR="00D23863" w:rsidRPr="00AD69B8" w:rsidRDefault="00D23863" w:rsidP="00D23863">
      <w:pPr>
        <w:pStyle w:val="DefaultText"/>
        <w:rPr>
          <w:rFonts w:ascii="Arial" w:hAnsi="Arial" w:cs="Arial"/>
          <w:sz w:val="22"/>
        </w:rPr>
      </w:pPr>
    </w:p>
    <w:p w14:paraId="2C76B25D" w14:textId="77777777" w:rsidR="00D23863" w:rsidRPr="00AD69B8" w:rsidRDefault="00D23863" w:rsidP="00D23863">
      <w:pPr>
        <w:pStyle w:val="DefaultText"/>
        <w:rPr>
          <w:rFonts w:ascii="Arial" w:hAnsi="Arial" w:cs="Arial"/>
        </w:rPr>
      </w:pPr>
    </w:p>
    <w:p w14:paraId="60A572E0" w14:textId="77777777" w:rsidR="00D23863" w:rsidRPr="00AD69B8" w:rsidRDefault="00D23863" w:rsidP="00D23863">
      <w:pPr>
        <w:pStyle w:val="DefaultText"/>
        <w:rPr>
          <w:rFonts w:ascii="Arial" w:hAnsi="Arial" w:cs="Arial"/>
        </w:rPr>
      </w:pPr>
    </w:p>
    <w:p w14:paraId="4634D417" w14:textId="77777777" w:rsidR="00D23863" w:rsidRPr="00AD69B8" w:rsidRDefault="00D23863" w:rsidP="00D23863">
      <w:pPr>
        <w:pStyle w:val="DefaultText"/>
        <w:rPr>
          <w:rFonts w:ascii="Arial" w:hAnsi="Arial" w:cs="Arial"/>
        </w:rPr>
      </w:pPr>
      <w:r w:rsidRPr="00AD69B8">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73B95297" w14:textId="77777777" w:rsidR="00D23863" w:rsidRPr="00AD69B8" w:rsidRDefault="00D23863" w:rsidP="00D23863">
      <w:pPr>
        <w:pStyle w:val="DefaultText"/>
        <w:rPr>
          <w:rFonts w:ascii="Arial" w:hAnsi="Arial" w:cs="Arial"/>
        </w:rPr>
      </w:pPr>
    </w:p>
    <w:p w14:paraId="27A25BB3" w14:textId="77777777" w:rsidR="00D23863" w:rsidRPr="00AD69B8" w:rsidRDefault="00D23863" w:rsidP="00D23863">
      <w:pPr>
        <w:pStyle w:val="DefaultText"/>
        <w:rPr>
          <w:rFonts w:ascii="Arial" w:hAnsi="Arial" w:cs="Arial"/>
        </w:rPr>
      </w:pPr>
      <w:r w:rsidRPr="00AD69B8">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rPr>
        <w:t>{ }</w:t>
      </w:r>
      <w:proofErr w:type="gramEnd"/>
      <w:r w:rsidRPr="00AD69B8">
        <w:rPr>
          <w:rFonts w:ascii="Arial" w:hAnsi="Arial" w:cs="Arial"/>
        </w:rPr>
        <w:t>.</w:t>
      </w:r>
    </w:p>
    <w:p w14:paraId="1AA4AAC9" w14:textId="77777777" w:rsidR="00D23863" w:rsidRPr="00AD69B8" w:rsidRDefault="00D23863" w:rsidP="00D23863">
      <w:pPr>
        <w:pStyle w:val="DefaultText"/>
        <w:rPr>
          <w:rFonts w:ascii="Arial" w:hAnsi="Arial" w:cs="Arial"/>
        </w:rPr>
      </w:pPr>
    </w:p>
    <w:p w14:paraId="3A38A2CF" w14:textId="77777777" w:rsidR="00D23863" w:rsidRPr="00AD69B8" w:rsidRDefault="00D23863" w:rsidP="00D23863">
      <w:pPr>
        <w:pStyle w:val="DefaultText"/>
        <w:rPr>
          <w:rFonts w:ascii="Arial" w:hAnsi="Arial" w:cs="Arial"/>
        </w:rPr>
      </w:pPr>
    </w:p>
    <w:p w14:paraId="29CAA51C" w14:textId="77777777" w:rsidR="00D23863" w:rsidRPr="00AD69B8" w:rsidRDefault="00D23863" w:rsidP="00D23863">
      <w:pPr>
        <w:pStyle w:val="DefaultText"/>
        <w:rPr>
          <w:rFonts w:ascii="Arial" w:hAnsi="Arial" w:cs="Arial"/>
          <w:sz w:val="22"/>
        </w:rPr>
      </w:pPr>
      <w:r w:rsidRPr="00AD69B8">
        <w:rPr>
          <w:rFonts w:ascii="Arial" w:hAnsi="Arial" w:cs="Arial"/>
          <w:sz w:val="22"/>
        </w:rPr>
        <w:t>WHAT YOU NEED TO KNOW:</w:t>
      </w:r>
    </w:p>
    <w:p w14:paraId="5E2CE8B4" w14:textId="77777777" w:rsidR="00D23863" w:rsidRPr="00AD69B8" w:rsidRDefault="00D23863" w:rsidP="00D23863">
      <w:pPr>
        <w:pStyle w:val="DefaultText"/>
        <w:tabs>
          <w:tab w:val="left" w:pos="540"/>
        </w:tabs>
        <w:rPr>
          <w:rFonts w:ascii="Arial" w:hAnsi="Arial" w:cs="Arial"/>
        </w:rPr>
      </w:pPr>
    </w:p>
    <w:p w14:paraId="7BE830CE" w14:textId="77777777" w:rsidR="00D23863" w:rsidRPr="00AD69B8" w:rsidRDefault="00D23863" w:rsidP="00D23863">
      <w:pPr>
        <w:pStyle w:val="DefaultText"/>
        <w:tabs>
          <w:tab w:val="left" w:pos="540"/>
        </w:tabs>
        <w:ind w:left="540" w:hanging="540"/>
        <w:rPr>
          <w:rFonts w:ascii="Arial" w:hAnsi="Arial" w:cs="Arial"/>
        </w:rPr>
      </w:pPr>
      <w:r w:rsidRPr="00AD69B8">
        <w:rPr>
          <w:rFonts w:ascii="Arial" w:hAnsi="Arial" w:cs="Arial"/>
        </w:rPr>
        <w:t>1)</w:t>
      </w:r>
      <w:r w:rsidRPr="00AD69B8">
        <w:rPr>
          <w:rFonts w:ascii="Arial" w:hAnsi="Arial" w:cs="Arial"/>
        </w:rPr>
        <w:tab/>
        <w:t>These files represent the most current revision level to date.  Your current</w:t>
      </w:r>
      <w:r w:rsidRPr="00AD69B8">
        <w:rPr>
          <w:rFonts w:ascii="Arial" w:hAnsi="Arial" w:cs="Arial"/>
        </w:rPr>
        <w:tab/>
        <w:t>product inventory could contain a previous revision level of this procedure.</w:t>
      </w:r>
    </w:p>
    <w:p w14:paraId="15A552DD" w14:textId="77777777" w:rsidR="00D23863" w:rsidRPr="00AD69B8" w:rsidRDefault="00D23863" w:rsidP="00D23863">
      <w:pPr>
        <w:pStyle w:val="DefaultText"/>
        <w:tabs>
          <w:tab w:val="left" w:pos="540"/>
          <w:tab w:val="left" w:pos="630"/>
        </w:tabs>
        <w:rPr>
          <w:rFonts w:ascii="Arial" w:hAnsi="Arial" w:cs="Arial"/>
        </w:rPr>
      </w:pPr>
    </w:p>
    <w:p w14:paraId="02689DDD" w14:textId="77777777" w:rsidR="00D23863" w:rsidRPr="00AD69B8" w:rsidRDefault="00D23863" w:rsidP="00D23863">
      <w:pPr>
        <w:pStyle w:val="DefaultText"/>
        <w:tabs>
          <w:tab w:val="left" w:pos="540"/>
        </w:tabs>
        <w:ind w:left="540" w:hanging="540"/>
        <w:rPr>
          <w:rFonts w:ascii="Arial" w:hAnsi="Arial" w:cs="Arial"/>
        </w:rPr>
      </w:pPr>
      <w:r w:rsidRPr="00AD69B8">
        <w:rPr>
          <w:rFonts w:ascii="Arial" w:hAnsi="Arial" w:cs="Arial"/>
        </w:rPr>
        <w:t>2)</w:t>
      </w:r>
      <w:r w:rsidRPr="00AD69B8">
        <w:rPr>
          <w:rFonts w:ascii="Arial" w:hAnsi="Arial" w:cs="Arial"/>
        </w:rPr>
        <w:tab/>
        <w:t xml:space="preserve">The Microsoft Word document provides the text </w:t>
      </w:r>
      <w:r>
        <w:rPr>
          <w:rFonts w:ascii="Arial" w:hAnsi="Arial" w:cs="Arial"/>
        </w:rPr>
        <w:t xml:space="preserve">only from the master procedure, </w:t>
      </w:r>
      <w:r w:rsidRPr="00AD69B8">
        <w:rPr>
          <w:rFonts w:ascii="Arial" w:hAnsi="Arial" w:cs="Arial"/>
        </w:rPr>
        <w:t>in a single-column format.</w:t>
      </w:r>
    </w:p>
    <w:p w14:paraId="027CD5E5" w14:textId="77777777" w:rsidR="00D23863" w:rsidRPr="00AD69B8" w:rsidRDefault="00D23863" w:rsidP="00D23863">
      <w:pPr>
        <w:pStyle w:val="DefaultText"/>
        <w:tabs>
          <w:tab w:val="left" w:pos="540"/>
          <w:tab w:val="left" w:pos="630"/>
        </w:tabs>
        <w:rPr>
          <w:rFonts w:ascii="Arial" w:hAnsi="Arial" w:cs="Arial"/>
        </w:rPr>
      </w:pPr>
    </w:p>
    <w:p w14:paraId="0A2664EC" w14:textId="77777777" w:rsidR="00D23863" w:rsidRPr="00AD69B8" w:rsidRDefault="00D23863" w:rsidP="00D23863">
      <w:pPr>
        <w:pStyle w:val="DefaultText"/>
        <w:numPr>
          <w:ilvl w:val="0"/>
          <w:numId w:val="5"/>
        </w:numPr>
        <w:tabs>
          <w:tab w:val="left" w:pos="540"/>
          <w:tab w:val="left" w:pos="630"/>
        </w:tabs>
        <w:rPr>
          <w:rFonts w:ascii="Arial" w:hAnsi="Arial" w:cs="Arial"/>
        </w:rPr>
      </w:pPr>
      <w:r w:rsidRPr="00AD69B8">
        <w:rPr>
          <w:rFonts w:ascii="Arial" w:hAnsi="Arial" w:cs="Arial"/>
        </w:rPr>
        <w:t>It may not contain any illustrations, graphics or captions that may be part of the master procedure included in the kit.</w:t>
      </w:r>
    </w:p>
    <w:p w14:paraId="7DFA7B15" w14:textId="77777777" w:rsidR="00D23863" w:rsidRPr="00AD69B8" w:rsidRDefault="00D23863" w:rsidP="00D23863">
      <w:pPr>
        <w:pStyle w:val="DefaultText"/>
        <w:tabs>
          <w:tab w:val="left" w:pos="540"/>
          <w:tab w:val="left" w:pos="630"/>
          <w:tab w:val="left" w:pos="1080"/>
        </w:tabs>
        <w:rPr>
          <w:rFonts w:ascii="Arial" w:hAnsi="Arial" w:cs="Arial"/>
        </w:rPr>
      </w:pPr>
    </w:p>
    <w:p w14:paraId="0D50C68B" w14:textId="77777777" w:rsidR="00D23863" w:rsidRPr="00AD69B8" w:rsidRDefault="00D23863" w:rsidP="00D23863">
      <w:pPr>
        <w:pStyle w:val="DefaultText"/>
        <w:numPr>
          <w:ilvl w:val="0"/>
          <w:numId w:val="5"/>
        </w:numPr>
        <w:tabs>
          <w:tab w:val="left" w:pos="540"/>
          <w:tab w:val="left" w:pos="630"/>
        </w:tabs>
        <w:rPr>
          <w:rFonts w:ascii="Arial" w:hAnsi="Arial" w:cs="Arial"/>
        </w:rPr>
      </w:pPr>
      <w:r w:rsidRPr="00AD69B8">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6EDD71C6" w14:textId="77777777" w:rsidR="00D23863" w:rsidRPr="00AD69B8" w:rsidRDefault="00D23863" w:rsidP="00D23863">
      <w:pPr>
        <w:pStyle w:val="DefaultText"/>
        <w:tabs>
          <w:tab w:val="left" w:pos="540"/>
          <w:tab w:val="left" w:pos="630"/>
        </w:tabs>
        <w:rPr>
          <w:rFonts w:ascii="Arial" w:hAnsi="Arial" w:cs="Arial"/>
        </w:rPr>
      </w:pPr>
    </w:p>
    <w:p w14:paraId="4062AA5F" w14:textId="77777777" w:rsidR="00D23863" w:rsidRPr="00AD69B8" w:rsidRDefault="00D23863" w:rsidP="00D23863">
      <w:pPr>
        <w:pStyle w:val="DefaultText"/>
        <w:numPr>
          <w:ilvl w:val="0"/>
          <w:numId w:val="5"/>
        </w:numPr>
        <w:tabs>
          <w:tab w:val="left" w:pos="540"/>
          <w:tab w:val="left" w:pos="630"/>
        </w:tabs>
        <w:rPr>
          <w:rFonts w:ascii="Arial" w:hAnsi="Arial" w:cs="Arial"/>
        </w:rPr>
      </w:pPr>
      <w:r w:rsidRPr="00AD69B8">
        <w:rPr>
          <w:rFonts w:ascii="Arial" w:hAnsi="Arial" w:cs="Arial"/>
        </w:rPr>
        <w:t>The master procedures may also contain columns of tabbed data.  Tab settings may or may not be displayed properly on your desktop.</w:t>
      </w:r>
    </w:p>
    <w:p w14:paraId="242ED8A7" w14:textId="77777777" w:rsidR="00D23863" w:rsidRPr="00AD69B8" w:rsidRDefault="00D23863" w:rsidP="00D23863">
      <w:pPr>
        <w:pStyle w:val="DefaultText"/>
        <w:tabs>
          <w:tab w:val="left" w:pos="540"/>
          <w:tab w:val="left" w:pos="630"/>
          <w:tab w:val="left" w:pos="1080"/>
        </w:tabs>
        <w:ind w:left="630"/>
        <w:rPr>
          <w:rFonts w:ascii="Arial" w:hAnsi="Arial" w:cs="Arial"/>
        </w:rPr>
      </w:pPr>
    </w:p>
    <w:p w14:paraId="343A45DA" w14:textId="77777777" w:rsidR="00D23863" w:rsidRPr="00AD69B8" w:rsidRDefault="00D23863" w:rsidP="00D23863">
      <w:pPr>
        <w:pStyle w:val="DefaultText"/>
        <w:tabs>
          <w:tab w:val="left" w:pos="540"/>
        </w:tabs>
        <w:ind w:left="540" w:hanging="540"/>
        <w:rPr>
          <w:rFonts w:ascii="Arial" w:hAnsi="Arial" w:cs="Arial"/>
        </w:rPr>
      </w:pPr>
      <w:r w:rsidRPr="00AD69B8">
        <w:rPr>
          <w:rFonts w:ascii="Arial" w:hAnsi="Arial" w:cs="Arial"/>
        </w:rPr>
        <w:t>3)</w:t>
      </w:r>
      <w:r w:rsidRPr="00AD69B8">
        <w:rPr>
          <w:rFonts w:ascii="Arial" w:hAnsi="Arial" w:cs="Arial"/>
        </w:rPr>
        <w:tab/>
        <w:t>The Adobe Acrobat PDF file provides a snapsh</w:t>
      </w:r>
      <w:r>
        <w:rPr>
          <w:rFonts w:ascii="Arial" w:hAnsi="Arial" w:cs="Arial"/>
        </w:rPr>
        <w:t xml:space="preserve">ot of the master procedure in a </w:t>
      </w:r>
      <w:r w:rsidRPr="00AD69B8">
        <w:rPr>
          <w:rFonts w:ascii="Arial" w:hAnsi="Arial" w:cs="Arial"/>
        </w:rPr>
        <w:t>printable 8.5 x 11” format.  It is provided to serve as a reference f</w:t>
      </w:r>
      <w:r>
        <w:rPr>
          <w:rFonts w:ascii="Arial" w:hAnsi="Arial" w:cs="Arial"/>
        </w:rPr>
        <w:t xml:space="preserve">or </w:t>
      </w:r>
      <w:r w:rsidRPr="00AD69B8">
        <w:rPr>
          <w:rFonts w:ascii="Arial" w:hAnsi="Arial" w:cs="Arial"/>
        </w:rPr>
        <w:t>accuracy.</w:t>
      </w:r>
    </w:p>
    <w:p w14:paraId="3A96851A" w14:textId="77777777" w:rsidR="00D23863" w:rsidRPr="00AD69B8" w:rsidRDefault="00D23863" w:rsidP="00D23863">
      <w:pPr>
        <w:pStyle w:val="DefaultText"/>
        <w:tabs>
          <w:tab w:val="left" w:pos="540"/>
        </w:tabs>
        <w:rPr>
          <w:rFonts w:ascii="Arial" w:hAnsi="Arial" w:cs="Arial"/>
        </w:rPr>
      </w:pPr>
    </w:p>
    <w:p w14:paraId="3B7D062B" w14:textId="77777777" w:rsidR="00D23863" w:rsidRPr="00AD69B8" w:rsidRDefault="00D23863" w:rsidP="00D23863">
      <w:pPr>
        <w:pStyle w:val="DefaultText"/>
        <w:tabs>
          <w:tab w:val="left" w:pos="540"/>
          <w:tab w:val="left" w:pos="1080"/>
        </w:tabs>
        <w:ind w:left="540" w:hanging="540"/>
        <w:rPr>
          <w:rFonts w:ascii="Arial" w:hAnsi="Arial" w:cs="Arial"/>
        </w:rPr>
      </w:pPr>
      <w:r w:rsidRPr="00AD69B8">
        <w:rPr>
          <w:rFonts w:ascii="Arial" w:hAnsi="Arial" w:cs="Arial"/>
        </w:rPr>
        <w:t>4)</w:t>
      </w:r>
      <w:r w:rsidRPr="00AD69B8">
        <w:rPr>
          <w:rFonts w:ascii="Arial" w:hAnsi="Arial" w:cs="Arial"/>
        </w:rPr>
        <w:tab/>
        <w:t>By downloading this procedure, your institution is assuming responsibility for modification and usage.</w:t>
      </w:r>
    </w:p>
    <w:p w14:paraId="466283A6" w14:textId="77777777" w:rsidR="00D23863" w:rsidRPr="00AD69B8" w:rsidRDefault="00D23863" w:rsidP="00D23863">
      <w:pPr>
        <w:pStyle w:val="DefaultText"/>
        <w:tabs>
          <w:tab w:val="left" w:pos="630"/>
          <w:tab w:val="left" w:pos="1080"/>
        </w:tabs>
        <w:rPr>
          <w:rFonts w:ascii="Arial" w:hAnsi="Arial" w:cs="Arial"/>
        </w:rPr>
      </w:pPr>
      <w:r w:rsidRPr="00AD69B8">
        <w:rPr>
          <w:rFonts w:ascii="Arial" w:hAnsi="Arial" w:cs="Arial"/>
        </w:rPr>
        <w:br w:type="page"/>
      </w:r>
    </w:p>
    <w:p w14:paraId="4C6163F3" w14:textId="77777777" w:rsidR="003E5B82" w:rsidRDefault="003E5B82" w:rsidP="003E5B82">
      <w:pPr>
        <w:pStyle w:val="DefaultText"/>
        <w:tabs>
          <w:tab w:val="left" w:pos="630"/>
          <w:tab w:val="left" w:pos="1080"/>
        </w:tabs>
        <w:rPr>
          <w:rFonts w:ascii="Arial" w:hAnsi="Arial" w:cs="Arial"/>
          <w:b/>
        </w:rPr>
      </w:pPr>
      <w:r>
        <w:rPr>
          <w:rFonts w:ascii="Arial" w:hAnsi="Arial" w:cs="Arial"/>
          <w:b/>
          <w:sz w:val="22"/>
        </w:rPr>
        <w:lastRenderedPageBreak/>
        <w:t>HELENA LABORATORIES</w:t>
      </w:r>
    </w:p>
    <w:p w14:paraId="4F4449A7" w14:textId="77777777" w:rsidR="003E5B82" w:rsidRDefault="003E5B82" w:rsidP="003E5B82">
      <w:pPr>
        <w:pStyle w:val="DefaultText"/>
        <w:rPr>
          <w:rFonts w:ascii="Arial" w:hAnsi="Arial" w:cs="Arial"/>
          <w:b/>
          <w:sz w:val="22"/>
        </w:rPr>
      </w:pPr>
      <w:r>
        <w:rPr>
          <w:rFonts w:ascii="Arial" w:hAnsi="Arial" w:cs="Arial"/>
          <w:b/>
          <w:sz w:val="22"/>
        </w:rPr>
        <w:t>PROCEDURE DOWNLOAD END USER AGREEMENT</w:t>
      </w:r>
    </w:p>
    <w:p w14:paraId="09CA667C" w14:textId="77777777" w:rsidR="003E5B82" w:rsidRDefault="003E5B82" w:rsidP="003E5B82">
      <w:pPr>
        <w:pStyle w:val="DefaultText"/>
        <w:rPr>
          <w:rFonts w:ascii="Arial" w:hAnsi="Arial" w:cs="Arial"/>
          <w:sz w:val="22"/>
        </w:rPr>
      </w:pPr>
    </w:p>
    <w:p w14:paraId="34CA5C38" w14:textId="77777777" w:rsidR="003E5B82" w:rsidRDefault="003E5B82" w:rsidP="003E5B82">
      <w:pPr>
        <w:pStyle w:val="DefaultText"/>
        <w:tabs>
          <w:tab w:val="left" w:pos="630"/>
          <w:tab w:val="left" w:pos="1080"/>
        </w:tabs>
        <w:rPr>
          <w:rFonts w:ascii="Arial" w:hAnsi="Arial" w:cs="Arial"/>
          <w:sz w:val="22"/>
        </w:rPr>
      </w:pPr>
    </w:p>
    <w:p w14:paraId="52409A86" w14:textId="77777777" w:rsidR="003E5B82" w:rsidRDefault="003E5B82" w:rsidP="003E5B82">
      <w:pPr>
        <w:pStyle w:val="DefaultText"/>
        <w:tabs>
          <w:tab w:val="left" w:pos="630"/>
          <w:tab w:val="left" w:pos="1080"/>
        </w:tabs>
        <w:rPr>
          <w:rFonts w:ascii="Arial" w:hAnsi="Arial" w:cs="Arial"/>
          <w:sz w:val="22"/>
        </w:rPr>
      </w:pPr>
    </w:p>
    <w:p w14:paraId="1374D9C7" w14:textId="77777777" w:rsidR="003E5B82" w:rsidRDefault="003E5B82" w:rsidP="003E5B82">
      <w:pPr>
        <w:pStyle w:val="DefaultText"/>
        <w:tabs>
          <w:tab w:val="left" w:pos="630"/>
          <w:tab w:val="left" w:pos="1080"/>
        </w:tabs>
        <w:jc w:val="center"/>
        <w:rPr>
          <w:rFonts w:ascii="Arial" w:hAnsi="Arial" w:cs="Arial"/>
          <w:sz w:val="22"/>
        </w:rPr>
      </w:pPr>
      <w:r>
        <w:rPr>
          <w:rFonts w:ascii="Arial" w:hAnsi="Arial" w:cs="Arial"/>
          <w:sz w:val="22"/>
        </w:rPr>
        <w:t>HELENA LABORATORIES LABELING – Style/Format Outline</w:t>
      </w:r>
    </w:p>
    <w:p w14:paraId="04D36BA2" w14:textId="77777777" w:rsidR="003E5B82" w:rsidRDefault="003E5B82" w:rsidP="003E5B82">
      <w:pPr>
        <w:pStyle w:val="DefaultText"/>
        <w:tabs>
          <w:tab w:val="left" w:pos="630"/>
          <w:tab w:val="left" w:pos="1080"/>
        </w:tabs>
        <w:rPr>
          <w:rFonts w:ascii="Arial" w:hAnsi="Arial" w:cs="Arial"/>
          <w:sz w:val="22"/>
        </w:rPr>
      </w:pPr>
    </w:p>
    <w:p w14:paraId="3DD4CC24" w14:textId="77777777" w:rsidR="003E5B82" w:rsidRDefault="003E5B82" w:rsidP="003E5B82">
      <w:pPr>
        <w:pStyle w:val="DefaultText"/>
        <w:tabs>
          <w:tab w:val="left" w:pos="630"/>
          <w:tab w:val="left" w:pos="1080"/>
        </w:tabs>
        <w:rPr>
          <w:rFonts w:ascii="Arial" w:hAnsi="Arial" w:cs="Arial"/>
          <w:sz w:val="22"/>
        </w:rPr>
      </w:pPr>
    </w:p>
    <w:p w14:paraId="27A853F3" w14:textId="77777777" w:rsidR="003E5B82" w:rsidRDefault="003E5B82" w:rsidP="003E5B82">
      <w:pPr>
        <w:pStyle w:val="DefaultText"/>
        <w:tabs>
          <w:tab w:val="left" w:pos="630"/>
          <w:tab w:val="left" w:pos="1080"/>
        </w:tabs>
        <w:rPr>
          <w:rFonts w:ascii="Arial" w:hAnsi="Arial" w:cs="Arial"/>
        </w:rPr>
      </w:pPr>
    </w:p>
    <w:p w14:paraId="7FA96711"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PRODUCT {Test} NAME</w:t>
      </w:r>
    </w:p>
    <w:p w14:paraId="20E3F68E"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INTENDED USE and TEST TYPE (qualitative or qualitative)</w:t>
      </w:r>
    </w:p>
    <w:p w14:paraId="64767755"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SUMMARY AND EXPLANATION</w:t>
      </w:r>
    </w:p>
    <w:p w14:paraId="2FCCD83D"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PRINCIPLES OF THE PROCEDURE</w:t>
      </w:r>
    </w:p>
    <w:p w14:paraId="60906643" w14:textId="77777777" w:rsidR="003E5B82" w:rsidRDefault="003E5B82" w:rsidP="003E5B82">
      <w:pPr>
        <w:pStyle w:val="DefaultText"/>
        <w:tabs>
          <w:tab w:val="left" w:pos="630"/>
          <w:tab w:val="left" w:pos="1080"/>
        </w:tabs>
        <w:rPr>
          <w:rFonts w:ascii="Arial" w:hAnsi="Arial" w:cs="Arial"/>
          <w:i/>
          <w:iCs/>
        </w:rPr>
      </w:pPr>
      <w:r>
        <w:rPr>
          <w:rFonts w:ascii="Arial" w:hAnsi="Arial" w:cs="Arial"/>
        </w:rPr>
        <w:tab/>
        <w:t xml:space="preserve">  {</w:t>
      </w:r>
      <w:r>
        <w:rPr>
          <w:rFonts w:ascii="Arial" w:hAnsi="Arial" w:cs="Arial"/>
          <w:i/>
          <w:iCs/>
        </w:rPr>
        <w:t>NCCLS lists SAMPLE COLLECTION/HANDLING next}</w:t>
      </w:r>
    </w:p>
    <w:p w14:paraId="1EB00AD5"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REAGENTS (name/concentration; warnings/precautions; preparation; storage; environment; Purification/treatment; indications of instability)</w:t>
      </w:r>
    </w:p>
    <w:p w14:paraId="629C55D5" w14:textId="77777777" w:rsidR="003E5B82" w:rsidRDefault="003E5B82" w:rsidP="003E5B82">
      <w:pPr>
        <w:widowControl/>
        <w:autoSpaceDE/>
        <w:autoSpaceDN/>
        <w:rPr>
          <w:rFonts w:eastAsia="Times New Roman"/>
          <w:sz w:val="20"/>
          <w:szCs w:val="20"/>
        </w:rPr>
        <w:sectPr w:rsidR="003E5B82" w:rsidSect="003E5B82">
          <w:type w:val="continuous"/>
          <w:pgSz w:w="12330" w:h="15840"/>
          <w:pgMar w:top="360" w:right="560" w:bottom="280" w:left="680" w:header="720" w:footer="720" w:gutter="0"/>
          <w:cols w:space="720"/>
        </w:sectPr>
      </w:pPr>
    </w:p>
    <w:p w14:paraId="2295BF05"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 xml:space="preserve">INSTRUMENTS required – Refer to Operator Manual (... for equipment for; use or function; Installation; Principles of operation; performance; Operating Instructions; Calibration* {*is next in </w:t>
      </w:r>
    </w:p>
    <w:p w14:paraId="65CDF935" w14:textId="77777777" w:rsidR="003E5B82" w:rsidRDefault="003E5B82" w:rsidP="003E5B82">
      <w:pPr>
        <w:widowControl/>
        <w:autoSpaceDE/>
        <w:autoSpaceDN/>
        <w:rPr>
          <w:rFonts w:eastAsia="Times New Roman"/>
          <w:sz w:val="20"/>
          <w:szCs w:val="20"/>
        </w:rPr>
        <w:sectPr w:rsidR="003E5B82">
          <w:type w:val="continuous"/>
          <w:pgSz w:w="12330" w:h="15840"/>
          <w:pgMar w:top="360" w:right="560" w:bottom="280" w:left="680" w:header="720" w:footer="720" w:gutter="0"/>
          <w:cols w:space="720"/>
        </w:sectPr>
      </w:pPr>
    </w:p>
    <w:p w14:paraId="29DE50A7" w14:textId="77777777" w:rsidR="003E5B82" w:rsidRDefault="003E5B82" w:rsidP="003E5B82">
      <w:pPr>
        <w:pStyle w:val="DefaultText"/>
        <w:tabs>
          <w:tab w:val="left" w:pos="1080"/>
        </w:tabs>
        <w:ind w:left="630"/>
        <w:rPr>
          <w:rFonts w:ascii="Arial" w:hAnsi="Arial" w:cs="Arial"/>
        </w:rPr>
      </w:pPr>
      <w:r>
        <w:rPr>
          <w:rFonts w:ascii="Arial" w:hAnsi="Arial" w:cs="Arial"/>
        </w:rPr>
        <w:t xml:space="preserve"> order for NCCLS – also listed in “PROCEDURE”}’ precautions/limitations/hazards; Service and maintenance information</w:t>
      </w:r>
    </w:p>
    <w:p w14:paraId="50C8EDCF"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SAMPLE COLLECTION/HANDLING</w:t>
      </w:r>
    </w:p>
    <w:p w14:paraId="4758018E"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PROCEDURE</w:t>
      </w:r>
    </w:p>
    <w:p w14:paraId="164078E2" w14:textId="77777777" w:rsidR="003E5B82" w:rsidRDefault="003E5B82" w:rsidP="003E5B82">
      <w:pPr>
        <w:pStyle w:val="DefaultText"/>
        <w:tabs>
          <w:tab w:val="left" w:pos="630"/>
          <w:tab w:val="left" w:pos="1080"/>
        </w:tabs>
        <w:rPr>
          <w:rFonts w:ascii="Arial" w:hAnsi="Arial" w:cs="Arial"/>
        </w:rPr>
      </w:pPr>
      <w:r>
        <w:rPr>
          <w:rFonts w:ascii="Arial" w:hAnsi="Arial" w:cs="Arial"/>
        </w:rPr>
        <w:tab/>
        <w:t xml:space="preserve">  {</w:t>
      </w:r>
      <w:r>
        <w:rPr>
          <w:rFonts w:ascii="Arial" w:hAnsi="Arial" w:cs="Arial"/>
          <w:i/>
          <w:iCs/>
        </w:rPr>
        <w:t>NCCLS lists QUALITY CONTROL (QC) next}</w:t>
      </w:r>
    </w:p>
    <w:p w14:paraId="426A36D7"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 9)  </w:t>
      </w:r>
      <w:r>
        <w:rPr>
          <w:rFonts w:ascii="Arial" w:hAnsi="Arial" w:cs="Arial"/>
        </w:rPr>
        <w:tab/>
        <w:t>RESULTS (calculations, as applicable; etc.)</w:t>
      </w:r>
    </w:p>
    <w:p w14:paraId="7FC6AD8B"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10) </w:t>
      </w:r>
      <w:r>
        <w:rPr>
          <w:rFonts w:ascii="Arial" w:hAnsi="Arial" w:cs="Arial"/>
        </w:rPr>
        <w:tab/>
        <w:t>LIMITATIONS/NOTES/INTERFERENCES</w:t>
      </w:r>
    </w:p>
    <w:p w14:paraId="03FCACBA"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11) </w:t>
      </w:r>
      <w:r>
        <w:rPr>
          <w:rFonts w:ascii="Arial" w:hAnsi="Arial" w:cs="Arial"/>
        </w:rPr>
        <w:tab/>
        <w:t>EXPECTED VALUES</w:t>
      </w:r>
    </w:p>
    <w:p w14:paraId="0F7B1F89"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12)  </w:t>
      </w:r>
      <w:r>
        <w:rPr>
          <w:rFonts w:ascii="Arial" w:hAnsi="Arial" w:cs="Arial"/>
        </w:rPr>
        <w:tab/>
        <w:t>PERFORMANCE CHARACTERISTCS</w:t>
      </w:r>
    </w:p>
    <w:p w14:paraId="01757495"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13)  </w:t>
      </w:r>
      <w:r>
        <w:rPr>
          <w:rFonts w:ascii="Arial" w:hAnsi="Arial" w:cs="Arial"/>
        </w:rPr>
        <w:tab/>
        <w:t>BIBLIOGRAPHY (of pertinent references)</w:t>
      </w:r>
    </w:p>
    <w:p w14:paraId="1206393F"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14)  </w:t>
      </w:r>
      <w:r>
        <w:rPr>
          <w:rFonts w:ascii="Arial" w:hAnsi="Arial" w:cs="Arial"/>
        </w:rPr>
        <w:tab/>
        <w:t>NAME AND PLACE OF BUSINESS OF MANUFACTURER</w:t>
      </w:r>
    </w:p>
    <w:p w14:paraId="13CED373"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15)  </w:t>
      </w:r>
      <w:r>
        <w:rPr>
          <w:rFonts w:ascii="Arial" w:hAnsi="Arial" w:cs="Arial"/>
        </w:rPr>
        <w:tab/>
        <w:t>DATE OF ISSUANCE OF LABELING (instructions)</w:t>
      </w:r>
    </w:p>
    <w:p w14:paraId="4062D86E" w14:textId="77777777" w:rsidR="00CD4D21" w:rsidRDefault="00CD4D21" w:rsidP="00D23863">
      <w:pPr>
        <w:rPr>
          <w:rFonts w:ascii="Times New Roman"/>
          <w:sz w:val="11"/>
        </w:rPr>
      </w:pPr>
    </w:p>
    <w:p w14:paraId="7D994DBF" w14:textId="77777777" w:rsidR="00CD4D21" w:rsidRDefault="00CD4D21" w:rsidP="00D23863">
      <w:pPr>
        <w:rPr>
          <w:rFonts w:ascii="Times New Roman"/>
          <w:sz w:val="11"/>
        </w:rPr>
      </w:pPr>
    </w:p>
    <w:p w14:paraId="63E7B80D" w14:textId="77777777" w:rsidR="00CD4D21" w:rsidRDefault="00CD4D21" w:rsidP="00D23863">
      <w:pPr>
        <w:rPr>
          <w:rFonts w:ascii="Times New Roman"/>
          <w:sz w:val="11"/>
        </w:rPr>
      </w:pPr>
    </w:p>
    <w:p w14:paraId="6F8BE338" w14:textId="77777777" w:rsidR="00CD4D21" w:rsidRDefault="00CD4D21" w:rsidP="00D23863">
      <w:pPr>
        <w:rPr>
          <w:rFonts w:ascii="Times New Roman"/>
          <w:sz w:val="11"/>
        </w:rPr>
      </w:pPr>
    </w:p>
    <w:p w14:paraId="57A4162C" w14:textId="77777777" w:rsidR="00CD4D21" w:rsidRDefault="00CD4D21" w:rsidP="00D23863">
      <w:pPr>
        <w:rPr>
          <w:rFonts w:ascii="Times New Roman"/>
          <w:sz w:val="11"/>
        </w:rPr>
      </w:pPr>
    </w:p>
    <w:p w14:paraId="35DE77BE" w14:textId="77777777" w:rsidR="00CD4D21" w:rsidRDefault="00CD4D21" w:rsidP="00D23863">
      <w:pPr>
        <w:rPr>
          <w:rFonts w:ascii="Times New Roman"/>
          <w:sz w:val="11"/>
        </w:rPr>
      </w:pPr>
    </w:p>
    <w:p w14:paraId="6CA9D70D" w14:textId="77777777" w:rsidR="00CD4D21" w:rsidRDefault="00CD4D21" w:rsidP="00D23863">
      <w:pPr>
        <w:rPr>
          <w:rFonts w:ascii="Times New Roman"/>
          <w:sz w:val="11"/>
        </w:rPr>
      </w:pPr>
    </w:p>
    <w:p w14:paraId="43E182D1" w14:textId="77777777" w:rsidR="00CD4D21" w:rsidRDefault="00CD4D21" w:rsidP="00D23863">
      <w:pPr>
        <w:rPr>
          <w:rFonts w:ascii="Times New Roman"/>
          <w:sz w:val="11"/>
        </w:rPr>
      </w:pPr>
    </w:p>
    <w:p w14:paraId="4D8D19CD" w14:textId="77777777" w:rsidR="00CD4D21" w:rsidRDefault="00CD4D21" w:rsidP="00D23863">
      <w:pPr>
        <w:rPr>
          <w:rFonts w:ascii="Times New Roman"/>
          <w:sz w:val="11"/>
        </w:rPr>
      </w:pPr>
    </w:p>
    <w:p w14:paraId="270A62EB" w14:textId="77777777" w:rsidR="00CD4D21" w:rsidRDefault="00CD4D21" w:rsidP="00D23863">
      <w:pPr>
        <w:rPr>
          <w:rFonts w:ascii="Times New Roman"/>
          <w:sz w:val="11"/>
        </w:rPr>
      </w:pPr>
    </w:p>
    <w:p w14:paraId="0B5BC1C5" w14:textId="77777777" w:rsidR="00CD4D21" w:rsidRDefault="00CD4D21" w:rsidP="00D23863">
      <w:pPr>
        <w:rPr>
          <w:rFonts w:ascii="Times New Roman"/>
          <w:sz w:val="11"/>
        </w:rPr>
      </w:pPr>
    </w:p>
    <w:p w14:paraId="66400BB5" w14:textId="77777777" w:rsidR="00CD4D21" w:rsidRDefault="00CD4D21" w:rsidP="00D23863">
      <w:pPr>
        <w:rPr>
          <w:rFonts w:ascii="Times New Roman"/>
          <w:sz w:val="11"/>
        </w:rPr>
      </w:pPr>
    </w:p>
    <w:p w14:paraId="3125A16E" w14:textId="77777777" w:rsidR="00CD4D21" w:rsidRDefault="00CD4D21" w:rsidP="00D23863">
      <w:pPr>
        <w:rPr>
          <w:rFonts w:ascii="Times New Roman"/>
          <w:sz w:val="11"/>
        </w:rPr>
      </w:pPr>
    </w:p>
    <w:p w14:paraId="4A58D0FC" w14:textId="77777777" w:rsidR="00CD4D21" w:rsidRDefault="00CD4D21" w:rsidP="00D23863">
      <w:pPr>
        <w:rPr>
          <w:rFonts w:ascii="Times New Roman"/>
          <w:sz w:val="11"/>
        </w:rPr>
      </w:pPr>
    </w:p>
    <w:p w14:paraId="20C4A464" w14:textId="77777777" w:rsidR="00CD4D21" w:rsidRDefault="00CD4D21" w:rsidP="00D23863">
      <w:pPr>
        <w:rPr>
          <w:rFonts w:ascii="Times New Roman"/>
          <w:sz w:val="11"/>
        </w:rPr>
      </w:pPr>
    </w:p>
    <w:p w14:paraId="544560A7" w14:textId="77777777" w:rsidR="00CD4D21" w:rsidRDefault="00CD4D21" w:rsidP="00D23863">
      <w:pPr>
        <w:rPr>
          <w:rFonts w:ascii="Times New Roman"/>
          <w:sz w:val="11"/>
        </w:rPr>
      </w:pPr>
    </w:p>
    <w:p w14:paraId="1B2D195F" w14:textId="77777777" w:rsidR="00CD4D21" w:rsidRDefault="00CD4D21" w:rsidP="00D23863">
      <w:pPr>
        <w:rPr>
          <w:rFonts w:ascii="Times New Roman"/>
          <w:sz w:val="11"/>
        </w:rPr>
      </w:pPr>
    </w:p>
    <w:p w14:paraId="40BCDCC2" w14:textId="77777777" w:rsidR="00CD4D21" w:rsidRDefault="00CD4D21" w:rsidP="00D23863">
      <w:pPr>
        <w:rPr>
          <w:rFonts w:ascii="Times New Roman"/>
          <w:sz w:val="11"/>
        </w:rPr>
      </w:pPr>
    </w:p>
    <w:p w14:paraId="17C01C3B" w14:textId="77777777" w:rsidR="00CD4D21" w:rsidRDefault="00CD4D21" w:rsidP="00D23863">
      <w:pPr>
        <w:rPr>
          <w:rFonts w:ascii="Times New Roman"/>
          <w:sz w:val="11"/>
        </w:rPr>
      </w:pPr>
    </w:p>
    <w:p w14:paraId="06341576" w14:textId="77777777" w:rsidR="00CD4D21" w:rsidRDefault="00CD4D21" w:rsidP="00D23863">
      <w:pPr>
        <w:rPr>
          <w:rFonts w:ascii="Times New Roman"/>
          <w:sz w:val="11"/>
        </w:rPr>
      </w:pPr>
    </w:p>
    <w:p w14:paraId="773A1FF0" w14:textId="77777777" w:rsidR="00CD4D21" w:rsidRDefault="00CD4D21" w:rsidP="00D23863">
      <w:pPr>
        <w:rPr>
          <w:rFonts w:ascii="Times New Roman"/>
          <w:sz w:val="11"/>
        </w:rPr>
      </w:pPr>
    </w:p>
    <w:p w14:paraId="6409E30C" w14:textId="77777777" w:rsidR="00CD4D21" w:rsidRDefault="00CD4D21" w:rsidP="00D23863">
      <w:pPr>
        <w:rPr>
          <w:rFonts w:ascii="Times New Roman"/>
          <w:sz w:val="11"/>
        </w:rPr>
      </w:pPr>
    </w:p>
    <w:p w14:paraId="51F7989A" w14:textId="77777777" w:rsidR="00CD4D21" w:rsidRDefault="00CD4D21" w:rsidP="00D23863">
      <w:pPr>
        <w:rPr>
          <w:rFonts w:ascii="Times New Roman"/>
          <w:sz w:val="11"/>
        </w:rPr>
      </w:pPr>
    </w:p>
    <w:p w14:paraId="5DF29FF0" w14:textId="77777777" w:rsidR="00CD4D21" w:rsidRDefault="00CD4D21" w:rsidP="00D23863">
      <w:pPr>
        <w:rPr>
          <w:rFonts w:ascii="Times New Roman"/>
          <w:sz w:val="11"/>
        </w:rPr>
      </w:pPr>
    </w:p>
    <w:p w14:paraId="3E69C573" w14:textId="77777777" w:rsidR="00CD4D21" w:rsidRDefault="00CD4D21" w:rsidP="00D23863">
      <w:pPr>
        <w:rPr>
          <w:rFonts w:ascii="Times New Roman"/>
          <w:sz w:val="11"/>
        </w:rPr>
      </w:pPr>
    </w:p>
    <w:p w14:paraId="7CCCC2AA" w14:textId="77777777" w:rsidR="00CD4D21" w:rsidRDefault="00CD4D21" w:rsidP="00D23863">
      <w:pPr>
        <w:rPr>
          <w:rFonts w:ascii="Times New Roman"/>
          <w:sz w:val="11"/>
        </w:rPr>
      </w:pPr>
    </w:p>
    <w:p w14:paraId="13B87AC6" w14:textId="77777777" w:rsidR="00CD4D21" w:rsidRDefault="00CD4D21" w:rsidP="00D23863">
      <w:pPr>
        <w:rPr>
          <w:rFonts w:ascii="Times New Roman"/>
          <w:sz w:val="11"/>
        </w:rPr>
      </w:pPr>
    </w:p>
    <w:p w14:paraId="77BB51FE" w14:textId="77777777" w:rsidR="00CD4D21" w:rsidRDefault="00CD4D21" w:rsidP="00D23863">
      <w:pPr>
        <w:rPr>
          <w:rFonts w:ascii="Times New Roman"/>
          <w:sz w:val="11"/>
        </w:rPr>
      </w:pPr>
    </w:p>
    <w:p w14:paraId="4C9DE67C" w14:textId="77777777" w:rsidR="00CD4D21" w:rsidRDefault="00CD4D21" w:rsidP="00D23863">
      <w:pPr>
        <w:rPr>
          <w:rFonts w:ascii="Times New Roman"/>
          <w:sz w:val="11"/>
        </w:rPr>
      </w:pPr>
    </w:p>
    <w:p w14:paraId="74118981" w14:textId="77777777" w:rsidR="00CD4D21" w:rsidRDefault="00CD4D21" w:rsidP="00D23863">
      <w:pPr>
        <w:rPr>
          <w:rFonts w:ascii="Times New Roman"/>
          <w:sz w:val="11"/>
        </w:rPr>
      </w:pPr>
    </w:p>
    <w:p w14:paraId="0DF9A87B" w14:textId="77777777" w:rsidR="00CD4D21" w:rsidRDefault="00CD4D21" w:rsidP="00D23863">
      <w:pPr>
        <w:rPr>
          <w:rFonts w:ascii="Times New Roman"/>
          <w:sz w:val="11"/>
        </w:rPr>
      </w:pPr>
    </w:p>
    <w:p w14:paraId="35B4E17E" w14:textId="77777777" w:rsidR="00CD4D21" w:rsidRDefault="00CD4D21" w:rsidP="00D23863">
      <w:pPr>
        <w:rPr>
          <w:rFonts w:ascii="Times New Roman"/>
          <w:sz w:val="11"/>
        </w:rPr>
      </w:pPr>
    </w:p>
    <w:p w14:paraId="3C1C7869" w14:textId="77777777" w:rsidR="00CD4D21" w:rsidRDefault="00CD4D21" w:rsidP="00D23863">
      <w:pPr>
        <w:rPr>
          <w:rFonts w:ascii="Times New Roman"/>
          <w:sz w:val="11"/>
        </w:rPr>
      </w:pPr>
    </w:p>
    <w:p w14:paraId="7176F049" w14:textId="77777777" w:rsidR="00CD4D21" w:rsidRDefault="00CD4D21" w:rsidP="00D23863">
      <w:pPr>
        <w:rPr>
          <w:rFonts w:ascii="Times New Roman"/>
          <w:sz w:val="11"/>
        </w:rPr>
      </w:pPr>
    </w:p>
    <w:p w14:paraId="745DFE5A" w14:textId="77777777" w:rsidR="00CD4D21" w:rsidRDefault="00CD4D21" w:rsidP="00D23863">
      <w:pPr>
        <w:rPr>
          <w:rFonts w:ascii="Times New Roman"/>
          <w:sz w:val="11"/>
        </w:rPr>
      </w:pPr>
    </w:p>
    <w:p w14:paraId="226CB2A3" w14:textId="77777777" w:rsidR="00CD4D21" w:rsidRDefault="00CD4D21" w:rsidP="00D23863">
      <w:pPr>
        <w:rPr>
          <w:rFonts w:ascii="Times New Roman"/>
          <w:sz w:val="11"/>
        </w:rPr>
      </w:pPr>
    </w:p>
    <w:p w14:paraId="11F179C6" w14:textId="77777777" w:rsidR="00CD4D21" w:rsidRDefault="00CD4D21" w:rsidP="00D23863">
      <w:pPr>
        <w:rPr>
          <w:rFonts w:ascii="Times New Roman"/>
          <w:sz w:val="11"/>
        </w:rPr>
      </w:pPr>
    </w:p>
    <w:p w14:paraId="68E97B8B" w14:textId="77777777" w:rsidR="00CD4D21" w:rsidRDefault="00CD4D21" w:rsidP="00D23863">
      <w:pPr>
        <w:rPr>
          <w:rFonts w:ascii="Times New Roman"/>
          <w:sz w:val="11"/>
        </w:rPr>
      </w:pPr>
    </w:p>
    <w:p w14:paraId="7EC28A70" w14:textId="77777777" w:rsidR="00CD4D21" w:rsidRDefault="00CD4D21" w:rsidP="00D23863">
      <w:pPr>
        <w:rPr>
          <w:rFonts w:ascii="Times New Roman"/>
          <w:sz w:val="11"/>
        </w:rPr>
      </w:pPr>
    </w:p>
    <w:p w14:paraId="7EA9EF0D" w14:textId="77777777" w:rsidR="00CD4D21" w:rsidRDefault="00CD4D21" w:rsidP="00D23863">
      <w:pPr>
        <w:rPr>
          <w:rFonts w:ascii="Times New Roman"/>
          <w:sz w:val="11"/>
        </w:rPr>
      </w:pPr>
    </w:p>
    <w:p w14:paraId="6304F46D" w14:textId="77777777" w:rsidR="00CD4D21" w:rsidRDefault="00CD4D21" w:rsidP="00D23863">
      <w:pPr>
        <w:rPr>
          <w:rFonts w:ascii="Times New Roman"/>
          <w:sz w:val="11"/>
        </w:rPr>
      </w:pPr>
    </w:p>
    <w:p w14:paraId="3CAAE202" w14:textId="77777777" w:rsidR="00CD4D21" w:rsidRDefault="00CD4D21" w:rsidP="00D23863">
      <w:pPr>
        <w:rPr>
          <w:rFonts w:ascii="Times New Roman"/>
          <w:sz w:val="11"/>
        </w:rPr>
      </w:pPr>
    </w:p>
    <w:p w14:paraId="48D84BC6" w14:textId="77777777" w:rsidR="00CD4D21" w:rsidRDefault="00CD4D21" w:rsidP="00D23863">
      <w:pPr>
        <w:rPr>
          <w:rFonts w:ascii="Times New Roman"/>
          <w:sz w:val="11"/>
        </w:rPr>
      </w:pPr>
    </w:p>
    <w:p w14:paraId="2013BC2A" w14:textId="77777777" w:rsidR="00CD4D21" w:rsidRDefault="00CD4D21" w:rsidP="00D23863">
      <w:pPr>
        <w:rPr>
          <w:rFonts w:ascii="Times New Roman"/>
          <w:sz w:val="11"/>
        </w:rPr>
      </w:pPr>
    </w:p>
    <w:p w14:paraId="4C18B169" w14:textId="77777777" w:rsidR="00CD4D21" w:rsidRDefault="00CD4D21" w:rsidP="00D23863">
      <w:pPr>
        <w:rPr>
          <w:rFonts w:ascii="Times New Roman"/>
          <w:sz w:val="11"/>
        </w:rPr>
      </w:pPr>
    </w:p>
    <w:p w14:paraId="3D945A45" w14:textId="77777777" w:rsidR="00CD4D21" w:rsidRDefault="00CD4D21" w:rsidP="00D23863">
      <w:pPr>
        <w:rPr>
          <w:rFonts w:ascii="Times New Roman"/>
          <w:sz w:val="11"/>
        </w:rPr>
      </w:pPr>
    </w:p>
    <w:p w14:paraId="67474B5E" w14:textId="77777777" w:rsidR="00CD4D21" w:rsidRDefault="00CD4D21" w:rsidP="00D23863">
      <w:pPr>
        <w:rPr>
          <w:rFonts w:ascii="Times New Roman"/>
          <w:sz w:val="11"/>
        </w:rPr>
      </w:pPr>
    </w:p>
    <w:p w14:paraId="26353EE3" w14:textId="77777777" w:rsidR="00CD4D21" w:rsidRDefault="00CD4D21" w:rsidP="00D23863">
      <w:pPr>
        <w:rPr>
          <w:rFonts w:ascii="Times New Roman"/>
          <w:sz w:val="11"/>
        </w:rPr>
      </w:pPr>
    </w:p>
    <w:p w14:paraId="7FF49E06" w14:textId="77777777" w:rsidR="00CD4D21" w:rsidRDefault="00CD4D21" w:rsidP="00D23863">
      <w:pPr>
        <w:rPr>
          <w:rFonts w:ascii="Times New Roman"/>
          <w:sz w:val="11"/>
        </w:rPr>
      </w:pPr>
    </w:p>
    <w:p w14:paraId="6EFCB4A0" w14:textId="77777777" w:rsidR="00CD4D21" w:rsidRDefault="00CD4D21" w:rsidP="00D23863">
      <w:pPr>
        <w:rPr>
          <w:rFonts w:ascii="Times New Roman"/>
          <w:sz w:val="11"/>
        </w:rPr>
      </w:pPr>
    </w:p>
    <w:p w14:paraId="731A4F0E" w14:textId="77777777" w:rsidR="00CD4D21" w:rsidRDefault="00CD4D21" w:rsidP="00D23863">
      <w:pPr>
        <w:rPr>
          <w:rFonts w:ascii="Times New Roman"/>
          <w:sz w:val="11"/>
        </w:rPr>
      </w:pPr>
    </w:p>
    <w:p w14:paraId="679323AA" w14:textId="77777777" w:rsidR="00CD4D21" w:rsidRDefault="00CD4D21" w:rsidP="00D23863">
      <w:pPr>
        <w:rPr>
          <w:rFonts w:ascii="Times New Roman"/>
          <w:sz w:val="11"/>
        </w:rPr>
      </w:pPr>
    </w:p>
    <w:p w14:paraId="3E374246" w14:textId="77777777" w:rsidR="00CD4D21" w:rsidRDefault="00CD4D21" w:rsidP="00D23863">
      <w:pPr>
        <w:rPr>
          <w:rFonts w:ascii="Times New Roman"/>
          <w:sz w:val="11"/>
        </w:rPr>
      </w:pPr>
    </w:p>
    <w:p w14:paraId="4AB88B56" w14:textId="77777777" w:rsidR="00CD4D21" w:rsidRDefault="00CD4D21" w:rsidP="00D23863">
      <w:pPr>
        <w:rPr>
          <w:rFonts w:ascii="Times New Roman"/>
          <w:sz w:val="11"/>
        </w:rPr>
      </w:pPr>
    </w:p>
    <w:p w14:paraId="63916815" w14:textId="77777777" w:rsidR="00CD4D21" w:rsidRDefault="00CD4D21" w:rsidP="00D23863">
      <w:pPr>
        <w:rPr>
          <w:rFonts w:ascii="Times New Roman"/>
          <w:sz w:val="11"/>
        </w:rPr>
      </w:pPr>
    </w:p>
    <w:p w14:paraId="74443881" w14:textId="77777777" w:rsidR="00CD4D21" w:rsidRDefault="00CD4D21" w:rsidP="00D23863">
      <w:pPr>
        <w:rPr>
          <w:rFonts w:ascii="Times New Roman"/>
          <w:sz w:val="11"/>
        </w:rPr>
      </w:pPr>
    </w:p>
    <w:p w14:paraId="317F550F" w14:textId="77777777" w:rsidR="00CD4D21" w:rsidRDefault="00CD4D21" w:rsidP="00D23863">
      <w:pPr>
        <w:rPr>
          <w:rFonts w:ascii="Times New Roman"/>
          <w:sz w:val="11"/>
        </w:rPr>
      </w:pPr>
    </w:p>
    <w:p w14:paraId="75894B9F" w14:textId="77777777" w:rsidR="00CD4D21" w:rsidRDefault="00CD4D21" w:rsidP="00D23863">
      <w:pPr>
        <w:rPr>
          <w:rFonts w:ascii="Times New Roman"/>
          <w:sz w:val="11"/>
        </w:rPr>
      </w:pPr>
    </w:p>
    <w:p w14:paraId="0A0C541A" w14:textId="77777777" w:rsidR="00CD4D21" w:rsidRDefault="00CD4D21" w:rsidP="00D23863">
      <w:pPr>
        <w:rPr>
          <w:rFonts w:ascii="Times New Roman"/>
          <w:sz w:val="11"/>
        </w:rPr>
      </w:pPr>
    </w:p>
    <w:p w14:paraId="0ED88E29" w14:textId="77777777" w:rsidR="00CD4D21" w:rsidRDefault="00CD4D21" w:rsidP="00D23863">
      <w:pPr>
        <w:rPr>
          <w:rFonts w:ascii="Times New Roman"/>
          <w:sz w:val="11"/>
        </w:rPr>
      </w:pPr>
    </w:p>
    <w:p w14:paraId="3B1FBECF" w14:textId="77777777" w:rsidR="00CD4D21" w:rsidRDefault="00CD4D21" w:rsidP="00D23863">
      <w:pPr>
        <w:rPr>
          <w:rFonts w:ascii="Times New Roman"/>
          <w:sz w:val="11"/>
        </w:rPr>
      </w:pPr>
    </w:p>
    <w:p w14:paraId="19F7260F" w14:textId="77777777" w:rsidR="00CD4D21" w:rsidRDefault="00CD4D21" w:rsidP="00D23863">
      <w:pPr>
        <w:rPr>
          <w:rFonts w:ascii="Times New Roman"/>
          <w:sz w:val="11"/>
        </w:rPr>
      </w:pPr>
    </w:p>
    <w:p w14:paraId="5C3D6EEA" w14:textId="77777777" w:rsidR="00CD4D21" w:rsidRDefault="00CD4D21" w:rsidP="00D23863">
      <w:pPr>
        <w:rPr>
          <w:rFonts w:ascii="Times New Roman"/>
          <w:sz w:val="11"/>
        </w:rPr>
      </w:pPr>
    </w:p>
    <w:p w14:paraId="7274C2F9" w14:textId="77777777" w:rsidR="00CD4D21" w:rsidRDefault="00CD4D21" w:rsidP="00D23863">
      <w:pPr>
        <w:rPr>
          <w:rFonts w:ascii="Times New Roman"/>
          <w:sz w:val="11"/>
        </w:rPr>
      </w:pPr>
    </w:p>
    <w:p w14:paraId="41DD7675" w14:textId="77777777" w:rsidR="00CD4D21" w:rsidRDefault="00CD4D21" w:rsidP="00D23863">
      <w:pPr>
        <w:rPr>
          <w:rFonts w:ascii="Times New Roman"/>
          <w:sz w:val="11"/>
        </w:rPr>
      </w:pPr>
    </w:p>
    <w:p w14:paraId="67889598" w14:textId="77777777" w:rsidR="00CD4D21" w:rsidRPr="00CD4D21" w:rsidRDefault="00CD4D21" w:rsidP="00CD4D21">
      <w:pPr>
        <w:widowControl/>
        <w:adjustRightInd w:val="0"/>
        <w:spacing w:line="288" w:lineRule="auto"/>
        <w:textAlignment w:val="center"/>
        <w:rPr>
          <w:rFonts w:eastAsiaTheme="minorHAnsi"/>
          <w:color w:val="000000"/>
          <w:sz w:val="12"/>
          <w:szCs w:val="12"/>
        </w:rPr>
      </w:pPr>
      <w:r w:rsidRPr="00CD4D21">
        <w:rPr>
          <w:rFonts w:eastAsiaTheme="minorHAnsi"/>
          <w:color w:val="000000"/>
          <w:sz w:val="12"/>
          <w:szCs w:val="12"/>
        </w:rPr>
        <w:t>English</w:t>
      </w:r>
    </w:p>
    <w:p w14:paraId="7DDFD05E" w14:textId="77777777" w:rsidR="00CD4D21" w:rsidRPr="00CD4D21" w:rsidRDefault="00CD4D21" w:rsidP="00CD4D21">
      <w:pPr>
        <w:widowControl/>
        <w:adjustRightInd w:val="0"/>
        <w:spacing w:line="288" w:lineRule="auto"/>
        <w:textAlignment w:val="center"/>
        <w:rPr>
          <w:rFonts w:eastAsiaTheme="minorHAnsi"/>
          <w:b/>
          <w:bCs/>
          <w:color w:val="000000"/>
        </w:rPr>
      </w:pPr>
      <w:r w:rsidRPr="00CD4D21">
        <w:rPr>
          <w:rFonts w:eastAsiaTheme="minorHAnsi"/>
          <w:b/>
          <w:bCs/>
          <w:color w:val="000000"/>
        </w:rPr>
        <w:t>Cascade</w:t>
      </w:r>
      <w:r w:rsidRPr="00CD4D21">
        <w:rPr>
          <w:rFonts w:eastAsiaTheme="minorHAnsi"/>
          <w:b/>
          <w:bCs/>
          <w:color w:val="000000"/>
          <w:vertAlign w:val="superscript"/>
        </w:rPr>
        <w:t>®</w:t>
      </w:r>
      <w:r w:rsidRPr="00CD4D21">
        <w:rPr>
          <w:rFonts w:eastAsiaTheme="minorHAnsi"/>
          <w:b/>
          <w:bCs/>
          <w:color w:val="000000"/>
        </w:rPr>
        <w:t xml:space="preserve"> Abrazo</w:t>
      </w:r>
      <w:r w:rsidRPr="00CD4D21">
        <w:rPr>
          <w:rFonts w:eastAsiaTheme="minorHAnsi"/>
          <w:color w:val="000000"/>
          <w:w w:val="98"/>
          <w:vertAlign w:val="superscript"/>
        </w:rPr>
        <w:t>®</w:t>
      </w:r>
    </w:p>
    <w:p w14:paraId="3777747E" w14:textId="77777777" w:rsidR="00CD4D21" w:rsidRDefault="00CD4D21" w:rsidP="00CD4D21">
      <w:pPr>
        <w:rPr>
          <w:rFonts w:eastAsiaTheme="minorHAnsi"/>
          <w:b/>
          <w:bCs/>
          <w:color w:val="000000"/>
        </w:rPr>
      </w:pPr>
      <w:r w:rsidRPr="00CD4D21">
        <w:rPr>
          <w:rFonts w:eastAsiaTheme="minorHAnsi"/>
          <w:b/>
          <w:bCs/>
          <w:color w:val="000000"/>
        </w:rPr>
        <w:t>PT-WB Test Cards</w:t>
      </w:r>
    </w:p>
    <w:p w14:paraId="74CFDC39" w14:textId="77777777" w:rsidR="00CD4D21" w:rsidRDefault="00CD4D21" w:rsidP="00CD4D21">
      <w:pPr>
        <w:rPr>
          <w:rFonts w:eastAsiaTheme="minorHAnsi"/>
          <w:b/>
          <w:bCs/>
          <w:color w:val="000000"/>
        </w:rPr>
      </w:pPr>
    </w:p>
    <w:p w14:paraId="30AB5F0D" w14:textId="3E746233" w:rsidR="00CD4D21" w:rsidRDefault="00CD4D21" w:rsidP="00CD4D21">
      <w:pPr>
        <w:pStyle w:val="txt"/>
      </w:pPr>
      <w:r>
        <w:t>Cat. No. 5720</w:t>
      </w:r>
    </w:p>
    <w:p w14:paraId="3CC62CA4" w14:textId="25032779" w:rsidR="00CD4D21" w:rsidRDefault="00CD4D21" w:rsidP="00CD4D21">
      <w:pPr>
        <w:rPr>
          <w:rFonts w:ascii="Times New Roman"/>
          <w:sz w:val="11"/>
        </w:rPr>
      </w:pPr>
      <w:r w:rsidRPr="00CD4D21">
        <w:rPr>
          <w:noProof/>
        </w:rPr>
        <w:drawing>
          <wp:inline distT="0" distB="0" distL="0" distR="0" wp14:anchorId="28C17F79" wp14:editId="2243FB0F">
            <wp:extent cx="342900" cy="469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900" cy="469900"/>
                    </a:xfrm>
                    <a:prstGeom prst="rect">
                      <a:avLst/>
                    </a:prstGeom>
                  </pic:spPr>
                </pic:pic>
              </a:graphicData>
            </a:graphic>
          </wp:inline>
        </w:drawing>
      </w:r>
    </w:p>
    <w:p w14:paraId="050E0934" w14:textId="77777777" w:rsidR="00CD4D21" w:rsidRDefault="00CD4D21" w:rsidP="00CD4D21">
      <w:pPr>
        <w:rPr>
          <w:rFonts w:ascii="Times New Roman"/>
          <w:sz w:val="11"/>
        </w:rPr>
      </w:pPr>
    </w:p>
    <w:p w14:paraId="2A516D06"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Contents</w:t>
      </w:r>
    </w:p>
    <w:p w14:paraId="10D05713"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50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WB test cards, individually sealed in foil pouches</w:t>
      </w:r>
    </w:p>
    <w:p w14:paraId="23A929DA"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Intended Use</w:t>
      </w:r>
    </w:p>
    <w:p w14:paraId="2BB761A5"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The Cascade Abrazo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 xml:space="preserve">WB test card is to be used in conjunction with the Cascade Abrazo coagulation analyzer. The test cards are intended for use in performing a quantitative, one-stage, clotting method utilizing tissue </w:t>
      </w:r>
      <w:proofErr w:type="gramStart"/>
      <w:r w:rsidRPr="002A54FA">
        <w:rPr>
          <w:rFonts w:eastAsiaTheme="minorHAnsi"/>
          <w:color w:val="000000"/>
          <w:spacing w:val="-1"/>
          <w:sz w:val="16"/>
          <w:szCs w:val="16"/>
        </w:rPr>
        <w:t>thromboplastin  to</w:t>
      </w:r>
      <w:proofErr w:type="gramEnd"/>
      <w:r w:rsidRPr="002A54FA">
        <w:rPr>
          <w:rFonts w:eastAsiaTheme="minorHAnsi"/>
          <w:color w:val="000000"/>
          <w:spacing w:val="-1"/>
          <w:sz w:val="16"/>
          <w:szCs w:val="16"/>
        </w:rPr>
        <w:t xml:space="preserve"> measure prothrombin time (PT) on fresh whole blood. The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WB tests, together with the Abrazo analyzer, are for use in point of care sites as an aid in monitoring warfarin therapy by trained medical professionals.</w:t>
      </w:r>
    </w:p>
    <w:p w14:paraId="3529BB6D"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Summary</w:t>
      </w:r>
    </w:p>
    <w:p w14:paraId="1D081F30"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The PT test was first reported by Quick</w:t>
      </w:r>
      <w:r w:rsidRPr="002A54FA">
        <w:rPr>
          <w:rFonts w:eastAsiaTheme="minorHAnsi"/>
          <w:color w:val="000000"/>
          <w:spacing w:val="-1"/>
          <w:sz w:val="16"/>
          <w:szCs w:val="16"/>
          <w:vertAlign w:val="superscript"/>
        </w:rPr>
        <w:t>1</w:t>
      </w:r>
      <w:r w:rsidRPr="002A54FA">
        <w:rPr>
          <w:rFonts w:eastAsiaTheme="minorHAnsi"/>
          <w:color w:val="000000"/>
          <w:spacing w:val="-1"/>
          <w:sz w:val="16"/>
          <w:szCs w:val="16"/>
        </w:rPr>
        <w:t xml:space="preserve"> in 1935. It has become one of the most useful tests for evaluating the extrinsic and common pathways of the coagulation process. There are two major applications for a prothrombin time: (1) as a screening tool for inherited or acquired disorders of factors II, V, VII, and X; and (2) as a method for monitoring oral anticoagulant drug therapy. The warfarin type drugs reduce the activity of Factors II (prothrombin), VII, IX, and X.</w:t>
      </w:r>
      <w:r w:rsidRPr="002A54FA">
        <w:rPr>
          <w:rFonts w:eastAsiaTheme="minorHAnsi"/>
          <w:color w:val="000000"/>
          <w:spacing w:val="-1"/>
          <w:sz w:val="16"/>
          <w:szCs w:val="16"/>
          <w:vertAlign w:val="superscript"/>
        </w:rPr>
        <w:t>2</w:t>
      </w:r>
    </w:p>
    <w:p w14:paraId="5BA13F11"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The Cascade Abrazo system is designed to eliminate many of the variables encountered with other coagulation methods. Precise pipetting of reagent or sample and manual timing skills are not a factor with the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WB test card. Many of the variables encountered with sample transport and handling are avoided.</w:t>
      </w:r>
    </w:p>
    <w:p w14:paraId="53FD45B8"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Principle</w:t>
      </w:r>
    </w:p>
    <w:p w14:paraId="366875D1"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The Cascade Abrazo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WB test card provides a one-stage method that measures the clotting time of the sample after combining it with tissue thromboplastin in a prewarmed card. By providing tissue thromboplastin, the intrinsic pathway factors (Factors VIII, IX, XI, and XII) are not detected, and a deficiency in one or more of them will not be reflected in the result. The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WB test card is a prothrombin time test for monitoring the effects of warfarin therapy.</w:t>
      </w:r>
    </w:p>
    <w:p w14:paraId="607CA1D3"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Reagent</w:t>
      </w:r>
    </w:p>
    <w:p w14:paraId="2858FFC2"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For in vitro diagnostic use only.</w:t>
      </w:r>
    </w:p>
    <w:p w14:paraId="795882B9" w14:textId="77777777" w:rsidR="002A54FA" w:rsidRPr="002A54FA" w:rsidRDefault="002A54FA" w:rsidP="002A54FA">
      <w:pPr>
        <w:widowControl/>
        <w:pBdr>
          <w:bottom w:val="single" w:sz="8" w:space="1" w:color="000000"/>
        </w:pBdr>
        <w:tabs>
          <w:tab w:val="left" w:pos="460"/>
          <w:tab w:val="left" w:pos="1720"/>
          <w:tab w:val="left" w:pos="2840"/>
        </w:tabs>
        <w:suppressAutoHyphens/>
        <w:adjustRightInd w:val="0"/>
        <w:spacing w:before="40" w:line="288" w:lineRule="auto"/>
        <w:jc w:val="both"/>
        <w:textAlignment w:val="center"/>
        <w:rPr>
          <w:rFonts w:eastAsiaTheme="minorHAnsi"/>
          <w:color w:val="000000"/>
          <w:spacing w:val="-1"/>
          <w:sz w:val="16"/>
          <w:szCs w:val="16"/>
        </w:rPr>
      </w:pPr>
      <w:r w:rsidRPr="002A54FA">
        <w:rPr>
          <w:rFonts w:eastAsiaTheme="minorHAnsi"/>
          <w:b/>
          <w:bCs/>
          <w:color w:val="000000"/>
          <w:spacing w:val="-1"/>
          <w:sz w:val="16"/>
          <w:szCs w:val="16"/>
        </w:rPr>
        <w:t>Components</w:t>
      </w:r>
      <w:r w:rsidRPr="002A54FA">
        <w:rPr>
          <w:rFonts w:eastAsiaTheme="minorHAnsi"/>
          <w:b/>
          <w:bCs/>
          <w:color w:val="000000"/>
          <w:spacing w:val="-1"/>
          <w:sz w:val="16"/>
          <w:szCs w:val="16"/>
        </w:rPr>
        <w:tab/>
        <w:t>Storage</w:t>
      </w:r>
      <w:r w:rsidRPr="002A54FA">
        <w:rPr>
          <w:rFonts w:eastAsiaTheme="minorHAnsi"/>
          <w:b/>
          <w:bCs/>
          <w:color w:val="000000"/>
          <w:spacing w:val="-1"/>
          <w:sz w:val="16"/>
          <w:szCs w:val="16"/>
        </w:rPr>
        <w:tab/>
        <w:t>Stability</w:t>
      </w:r>
    </w:p>
    <w:p w14:paraId="539BFDD3" w14:textId="77777777" w:rsidR="002A54FA" w:rsidRPr="002A54FA" w:rsidRDefault="002A54FA" w:rsidP="002A54FA">
      <w:pPr>
        <w:widowControl/>
        <w:pBdr>
          <w:bottom w:val="single" w:sz="8" w:space="2" w:color="000000"/>
        </w:pBdr>
        <w:tabs>
          <w:tab w:val="left" w:pos="460"/>
          <w:tab w:val="left" w:pos="1720"/>
          <w:tab w:val="left" w:pos="2840"/>
        </w:tabs>
        <w:suppressAutoHyphens/>
        <w:adjustRightInd w:val="0"/>
        <w:spacing w:line="288" w:lineRule="auto"/>
        <w:textAlignment w:val="center"/>
        <w:rPr>
          <w:rFonts w:ascii="Arial Narrow MT Std" w:eastAsiaTheme="minorHAnsi" w:hAnsi="Arial Narrow MT Std" w:cs="Arial Narrow MT Std"/>
          <w:color w:val="000000"/>
          <w:spacing w:val="-1"/>
          <w:sz w:val="16"/>
          <w:szCs w:val="16"/>
        </w:rPr>
      </w:pPr>
      <w:r w:rsidRPr="002A54FA">
        <w:rPr>
          <w:rFonts w:ascii="Arial Narrow MT Std" w:eastAsiaTheme="minorHAnsi" w:hAnsi="Arial Narrow MT Std" w:cs="Arial Narrow MT Std"/>
          <w:color w:val="000000"/>
          <w:spacing w:val="-1"/>
          <w:sz w:val="16"/>
          <w:szCs w:val="16"/>
        </w:rPr>
        <w:t>Thromboplastin extracted from</w:t>
      </w:r>
      <w:r w:rsidRPr="002A54FA">
        <w:rPr>
          <w:rFonts w:ascii="Arial Narrow MT Std" w:eastAsiaTheme="minorHAnsi" w:hAnsi="Arial Narrow MT Std" w:cs="Arial Narrow MT Std"/>
          <w:color w:val="000000"/>
          <w:spacing w:val="-1"/>
          <w:sz w:val="16"/>
          <w:szCs w:val="16"/>
        </w:rPr>
        <w:tab/>
        <w:t>2–8°C (36–46°F)</w:t>
      </w:r>
      <w:r w:rsidRPr="002A54FA">
        <w:rPr>
          <w:rFonts w:ascii="Arial Narrow MT Std" w:eastAsiaTheme="minorHAnsi" w:hAnsi="Arial Narrow MT Std" w:cs="Arial Narrow MT Std"/>
          <w:color w:val="000000"/>
          <w:spacing w:val="-1"/>
          <w:sz w:val="16"/>
          <w:szCs w:val="16"/>
        </w:rPr>
        <w:tab/>
        <w:t>Unopened – until the expiration</w:t>
      </w:r>
      <w:r w:rsidRPr="002A54FA">
        <w:rPr>
          <w:rFonts w:ascii="Arial Narrow MT Std" w:eastAsiaTheme="minorHAnsi" w:hAnsi="Arial Narrow MT Std" w:cs="Arial Narrow MT Std"/>
          <w:color w:val="000000"/>
          <w:spacing w:val="-1"/>
          <w:sz w:val="16"/>
          <w:szCs w:val="16"/>
        </w:rPr>
        <w:br/>
        <w:t>human placenta, buffers,</w:t>
      </w:r>
      <w:r w:rsidRPr="002A54FA">
        <w:rPr>
          <w:rFonts w:ascii="Arial Narrow MT Std" w:eastAsiaTheme="minorHAnsi" w:hAnsi="Arial Narrow MT Std" w:cs="Arial Narrow MT Std"/>
          <w:color w:val="000000"/>
          <w:spacing w:val="-1"/>
          <w:sz w:val="16"/>
          <w:szCs w:val="16"/>
        </w:rPr>
        <w:tab/>
      </w:r>
      <w:r w:rsidRPr="002A54FA">
        <w:rPr>
          <w:rFonts w:ascii="Arial Narrow MT Std" w:eastAsiaTheme="minorHAnsi" w:hAnsi="Arial Narrow MT Std" w:cs="Arial Narrow MT Std"/>
          <w:color w:val="000000"/>
          <w:spacing w:val="-1"/>
          <w:sz w:val="16"/>
          <w:szCs w:val="16"/>
        </w:rPr>
        <w:tab/>
        <w:t>date on the pouch label</w:t>
      </w:r>
      <w:r w:rsidRPr="002A54FA">
        <w:rPr>
          <w:rFonts w:ascii="Arial Narrow MT Std" w:eastAsiaTheme="minorHAnsi" w:hAnsi="Arial Narrow MT Std" w:cs="Arial Narrow MT Std"/>
          <w:color w:val="000000"/>
          <w:spacing w:val="-1"/>
          <w:sz w:val="16"/>
          <w:szCs w:val="16"/>
        </w:rPr>
        <w:br/>
        <w:t>stabilizers, and paramagnetic</w:t>
      </w:r>
      <w:r w:rsidRPr="002A54FA">
        <w:rPr>
          <w:rFonts w:ascii="Arial Narrow MT Std" w:eastAsiaTheme="minorHAnsi" w:hAnsi="Arial Narrow MT Std" w:cs="Arial Narrow MT Std"/>
          <w:color w:val="000000"/>
          <w:spacing w:val="-1"/>
          <w:sz w:val="16"/>
          <w:szCs w:val="16"/>
        </w:rPr>
        <w:tab/>
      </w:r>
      <w:r w:rsidRPr="002A54FA">
        <w:rPr>
          <w:rFonts w:ascii="Arial Narrow MT Std" w:eastAsiaTheme="minorHAnsi" w:hAnsi="Arial Narrow MT Std" w:cs="Arial Narrow MT Std"/>
          <w:color w:val="000000"/>
          <w:spacing w:val="-1"/>
          <w:sz w:val="16"/>
          <w:szCs w:val="16"/>
        </w:rPr>
        <w:tab/>
        <w:t>or</w:t>
      </w:r>
      <w:r w:rsidRPr="002A54FA">
        <w:rPr>
          <w:rFonts w:ascii="Arial Narrow MT Std" w:eastAsiaTheme="minorHAnsi" w:hAnsi="Arial Narrow MT Std" w:cs="Arial Narrow MT Std"/>
          <w:color w:val="000000"/>
          <w:spacing w:val="-1"/>
          <w:sz w:val="16"/>
          <w:szCs w:val="16"/>
        </w:rPr>
        <w:br/>
        <w:t>iron oxide particles</w:t>
      </w:r>
      <w:r w:rsidRPr="002A54FA">
        <w:rPr>
          <w:rFonts w:ascii="Arial Narrow MT Std" w:eastAsiaTheme="minorHAnsi" w:hAnsi="Arial Narrow MT Std" w:cs="Arial Narrow MT Std"/>
          <w:color w:val="000000"/>
          <w:spacing w:val="-1"/>
          <w:sz w:val="16"/>
          <w:szCs w:val="16"/>
        </w:rPr>
        <w:tab/>
        <w:t>20–25°C (68–77°F)</w:t>
      </w:r>
      <w:r w:rsidRPr="002A54FA">
        <w:rPr>
          <w:rFonts w:ascii="Arial Narrow MT Std" w:eastAsiaTheme="minorHAnsi" w:hAnsi="Arial Narrow MT Std" w:cs="Arial Narrow MT Std"/>
          <w:color w:val="000000"/>
          <w:spacing w:val="-1"/>
          <w:sz w:val="16"/>
          <w:szCs w:val="16"/>
        </w:rPr>
        <w:tab/>
        <w:t>Unopened – 2 weeks</w:t>
      </w:r>
    </w:p>
    <w:p w14:paraId="226562FE" w14:textId="77777777" w:rsidR="002A54FA" w:rsidRPr="002A54FA" w:rsidRDefault="002A54FA" w:rsidP="002A54FA">
      <w:pPr>
        <w:widowControl/>
        <w:tabs>
          <w:tab w:val="left" w:pos="160"/>
          <w:tab w:val="left" w:pos="320"/>
        </w:tabs>
        <w:suppressAutoHyphens/>
        <w:adjustRightInd w:val="0"/>
        <w:spacing w:before="40"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Any pouches not kept refrigerated should be dated and used within 2 weeks.</w:t>
      </w:r>
    </w:p>
    <w:p w14:paraId="26936DDC" w14:textId="77777777" w:rsidR="002A54FA" w:rsidRPr="002A54FA" w:rsidRDefault="002A54FA" w:rsidP="002A54FA">
      <w:pPr>
        <w:widowControl/>
        <w:tabs>
          <w:tab w:val="left" w:pos="160"/>
          <w:tab w:val="left" w:pos="320"/>
        </w:tabs>
        <w:suppressAutoHyphens/>
        <w:adjustRightInd w:val="0"/>
        <w:spacing w:before="20" w:line="288" w:lineRule="auto"/>
        <w:jc w:val="both"/>
        <w:textAlignment w:val="center"/>
        <w:rPr>
          <w:rFonts w:eastAsiaTheme="minorHAnsi"/>
          <w:color w:val="000000"/>
          <w:spacing w:val="-1"/>
          <w:sz w:val="16"/>
          <w:szCs w:val="16"/>
        </w:rPr>
      </w:pPr>
      <w:r w:rsidRPr="002A54FA">
        <w:rPr>
          <w:rFonts w:eastAsiaTheme="minorHAnsi"/>
          <w:b/>
          <w:bCs/>
          <w:color w:val="000000"/>
          <w:spacing w:val="-1"/>
          <w:sz w:val="16"/>
          <w:szCs w:val="16"/>
        </w:rPr>
        <w:t xml:space="preserve">CAUTION: </w:t>
      </w:r>
      <w:r w:rsidRPr="002A54FA">
        <w:rPr>
          <w:rFonts w:eastAsiaTheme="minorHAnsi"/>
          <w:color w:val="000000"/>
          <w:spacing w:val="-1"/>
          <w:sz w:val="16"/>
          <w:szCs w:val="16"/>
        </w:rPr>
        <w:t>Exposure of the test cards at any time to magnetic objects or fields (for example, an MRI instrument) can potentially prevent the analyzer from performing the test properly.</w:t>
      </w:r>
    </w:p>
    <w:p w14:paraId="00EA649F" w14:textId="77777777" w:rsidR="002A54FA" w:rsidRPr="002A54FA" w:rsidRDefault="002A54FA" w:rsidP="002A54FA">
      <w:pPr>
        <w:widowControl/>
        <w:tabs>
          <w:tab w:val="decimal" w:pos="180"/>
          <w:tab w:val="left" w:pos="280"/>
          <w:tab w:val="left" w:pos="460"/>
          <w:tab w:val="left" w:pos="5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b/>
          <w:bCs/>
          <w:color w:val="000000"/>
          <w:spacing w:val="-1"/>
          <w:sz w:val="16"/>
          <w:szCs w:val="16"/>
        </w:rPr>
        <w:t xml:space="preserve">CAUTION! POTENTIAL BIOHAZARD: </w:t>
      </w:r>
      <w:r w:rsidRPr="002A54FA">
        <w:rPr>
          <w:rFonts w:eastAsiaTheme="minorHAnsi"/>
          <w:color w:val="000000"/>
          <w:spacing w:val="-1"/>
          <w:sz w:val="16"/>
          <w:szCs w:val="16"/>
        </w:rPr>
        <w:t>Human source material. Treat as potentially infectious. Thromboplastin batches prepared from human placentas have been examined for hepatitis B surface antigen (HBsAg) and for antibodies to HCV and HIV by FDA-required tests and found to be nonreactive. Because no known test method can offer complete assurance that hepatitis B virus, Human Immunodeficiency Virus (HIV) or other infectious agents are absent, all human-based products should be handled in accordance with good laboratory practices, using appropriate precautions.</w:t>
      </w:r>
      <w:r w:rsidRPr="002A54FA">
        <w:rPr>
          <w:rFonts w:eastAsiaTheme="minorHAnsi"/>
          <w:color w:val="000000"/>
          <w:spacing w:val="-1"/>
          <w:sz w:val="16"/>
          <w:szCs w:val="16"/>
          <w:vertAlign w:val="superscript"/>
        </w:rPr>
        <w:t>5-8</w:t>
      </w:r>
    </w:p>
    <w:p w14:paraId="3B22D71E"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Specimen Collection and Preparation</w:t>
      </w:r>
    </w:p>
    <w:p w14:paraId="42A36BF2"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2"/>
          <w:sz w:val="16"/>
          <w:szCs w:val="16"/>
        </w:rPr>
      </w:pPr>
      <w:r w:rsidRPr="002A54FA">
        <w:rPr>
          <w:rFonts w:eastAsiaTheme="minorHAnsi"/>
          <w:color w:val="000000"/>
          <w:spacing w:val="-2"/>
          <w:sz w:val="16"/>
          <w:szCs w:val="16"/>
        </w:rPr>
        <w:t>The PT</w:t>
      </w:r>
      <w:r w:rsidRPr="002A54FA">
        <w:rPr>
          <w:rFonts w:ascii="Cambria Math" w:eastAsiaTheme="minorHAnsi" w:hAnsi="Cambria Math" w:cs="Cambria Math"/>
          <w:color w:val="000000"/>
          <w:spacing w:val="-2"/>
          <w:sz w:val="16"/>
          <w:szCs w:val="16"/>
        </w:rPr>
        <w:t>‑</w:t>
      </w:r>
      <w:r w:rsidRPr="002A54FA">
        <w:rPr>
          <w:rFonts w:eastAsiaTheme="minorHAnsi"/>
          <w:color w:val="000000"/>
          <w:spacing w:val="-2"/>
          <w:sz w:val="16"/>
          <w:szCs w:val="16"/>
        </w:rPr>
        <w:t>WB test cards can be used only with fresh whole blood collected and processed according to CLSI Guideline: Procedures for the Collection of Diagnostic Blood Specimens by Venipuncture; H03-A6</w:t>
      </w:r>
      <w:r w:rsidRPr="002A54FA">
        <w:rPr>
          <w:rFonts w:eastAsiaTheme="minorHAnsi"/>
          <w:color w:val="000000"/>
          <w:spacing w:val="-2"/>
          <w:sz w:val="16"/>
          <w:szCs w:val="16"/>
          <w:vertAlign w:val="superscript"/>
        </w:rPr>
        <w:t>3</w:t>
      </w:r>
      <w:r w:rsidRPr="002A54FA">
        <w:rPr>
          <w:rFonts w:eastAsiaTheme="minorHAnsi"/>
          <w:color w:val="000000"/>
          <w:spacing w:val="-2"/>
          <w:sz w:val="16"/>
          <w:szCs w:val="16"/>
        </w:rPr>
        <w:t xml:space="preserve"> or Procedures and Devices for the Collection of Diagnostic Capillary Blood Specimens; H04-A6.</w:t>
      </w:r>
      <w:r w:rsidRPr="002A54FA">
        <w:rPr>
          <w:rFonts w:eastAsiaTheme="minorHAnsi"/>
          <w:color w:val="000000"/>
          <w:spacing w:val="-2"/>
          <w:sz w:val="16"/>
          <w:szCs w:val="16"/>
          <w:vertAlign w:val="superscript"/>
        </w:rPr>
        <w:t>4</w:t>
      </w:r>
      <w:r w:rsidRPr="002A54FA">
        <w:rPr>
          <w:rFonts w:eastAsiaTheme="minorHAnsi"/>
          <w:color w:val="000000"/>
          <w:spacing w:val="-2"/>
          <w:sz w:val="16"/>
          <w:szCs w:val="16"/>
        </w:rPr>
        <w:t xml:space="preserve"> Fresh specimens can be obtained by the fingerstick method or by venipuncture.</w:t>
      </w:r>
    </w:p>
    <w:p w14:paraId="12710440"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b/>
          <w:bCs/>
          <w:color w:val="000000"/>
          <w:spacing w:val="-1"/>
          <w:sz w:val="16"/>
          <w:szCs w:val="16"/>
        </w:rPr>
        <w:t>CAUTION:</w:t>
      </w:r>
      <w:r w:rsidRPr="002A54FA">
        <w:rPr>
          <w:rFonts w:eastAsiaTheme="minorHAnsi"/>
          <w:color w:val="000000"/>
          <w:spacing w:val="-1"/>
          <w:sz w:val="16"/>
          <w:szCs w:val="16"/>
        </w:rPr>
        <w:t xml:space="preserve"> Do not collect the fresh whole blood specimen until the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WB test card has been warmed in the analyzer and the prompt is displayed. Test fresh whole blood specimens immediately after collection. Collecting the specimen before warming the test card can cause erroneous results.</w:t>
      </w:r>
    </w:p>
    <w:p w14:paraId="14BCBCDB"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After the site has been prepared and punctured, wipe away the first drop of blood with gauze since it is likely to contain excess tissue fluid. A second drop of blood will form over the puncture site. Blood flow from the puncture is enhanced by holding the puncture site downward and gently applying continuous pressure to the surrounding tissue (or proximal to the puncture site when the blood is obtained from a finger). Strong repetitive pressure (milking) should not be applied; it may cause hemolysis or contamination of the specimen with tissue fluid.</w:t>
      </w:r>
      <w:r w:rsidRPr="002A54FA">
        <w:rPr>
          <w:rFonts w:eastAsiaTheme="minorHAnsi"/>
          <w:color w:val="000000"/>
          <w:spacing w:val="-1"/>
          <w:sz w:val="16"/>
          <w:szCs w:val="16"/>
          <w:vertAlign w:val="superscript"/>
        </w:rPr>
        <w:t>4</w:t>
      </w:r>
    </w:p>
    <w:p w14:paraId="27A5DA7A"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 xml:space="preserve">Use Dispo Capillary pipette referred to in “Materials provided” below to collect sample from fingerstick. Dispense sample immediately onto test card. </w:t>
      </w:r>
    </w:p>
    <w:p w14:paraId="20BB47A6"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procedure</w:t>
      </w:r>
    </w:p>
    <w:p w14:paraId="4BB8702A"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z w:val="16"/>
          <w:szCs w:val="16"/>
        </w:rPr>
      </w:pPr>
      <w:r w:rsidRPr="002A54FA">
        <w:rPr>
          <w:rFonts w:eastAsiaTheme="minorHAnsi"/>
          <w:b/>
          <w:bCs/>
          <w:color w:val="000000"/>
          <w:spacing w:val="-1"/>
          <w:sz w:val="16"/>
          <w:szCs w:val="16"/>
        </w:rPr>
        <w:t>Materials provided:</w:t>
      </w:r>
      <w:r w:rsidRPr="002A54FA">
        <w:rPr>
          <w:rFonts w:eastAsiaTheme="minorHAnsi"/>
          <w:color w:val="000000"/>
          <w:spacing w:val="-1"/>
          <w:sz w:val="16"/>
          <w:szCs w:val="16"/>
        </w:rPr>
        <w:t xml:space="preserve"> </w:t>
      </w:r>
      <w:r w:rsidRPr="002A54FA">
        <w:rPr>
          <w:rFonts w:eastAsiaTheme="minorHAnsi"/>
          <w:color w:val="000000"/>
          <w:sz w:val="16"/>
          <w:szCs w:val="16"/>
        </w:rPr>
        <w:t>The following materials are contained in the Abrazo PT-WB Test Kit (Cat. No. 5720).</w:t>
      </w:r>
    </w:p>
    <w:p w14:paraId="7DB3D252" w14:textId="77777777" w:rsidR="002A54FA" w:rsidRPr="002A54FA" w:rsidRDefault="002A54FA" w:rsidP="002A54FA">
      <w:pPr>
        <w:widowControl/>
        <w:tabs>
          <w:tab w:val="left" w:pos="168"/>
          <w:tab w:val="left" w:pos="298"/>
          <w:tab w:val="left" w:pos="429"/>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50 Cascade Abrazo PT-WB Test Cards</w:t>
      </w:r>
    </w:p>
    <w:p w14:paraId="76989689" w14:textId="77777777" w:rsidR="002A54FA" w:rsidRPr="002A54FA" w:rsidRDefault="002A54FA" w:rsidP="002A54FA">
      <w:pPr>
        <w:widowControl/>
        <w:tabs>
          <w:tab w:val="left" w:pos="180"/>
          <w:tab w:val="center" w:pos="3680"/>
        </w:tabs>
        <w:suppressAutoHyphens/>
        <w:adjustRightInd w:val="0"/>
        <w:spacing w:before="20" w:line="288" w:lineRule="auto"/>
        <w:textAlignment w:val="center"/>
        <w:rPr>
          <w:rFonts w:eastAsiaTheme="minorHAnsi"/>
          <w:b/>
          <w:bCs/>
          <w:color w:val="000000"/>
          <w:sz w:val="16"/>
          <w:szCs w:val="16"/>
        </w:rPr>
      </w:pPr>
      <w:r w:rsidRPr="002A54FA">
        <w:rPr>
          <w:rFonts w:eastAsiaTheme="minorHAnsi"/>
          <w:b/>
          <w:bCs/>
          <w:color w:val="000000"/>
          <w:sz w:val="16"/>
          <w:szCs w:val="16"/>
        </w:rPr>
        <w:t>Materials provided but not contained in the kit:</w:t>
      </w:r>
    </w:p>
    <w:p w14:paraId="56D4049F" w14:textId="77777777" w:rsidR="002A54FA" w:rsidRPr="002A54FA" w:rsidRDefault="002A54FA" w:rsidP="002A54FA">
      <w:pPr>
        <w:widowControl/>
        <w:tabs>
          <w:tab w:val="left" w:pos="180"/>
          <w:tab w:val="center" w:pos="3960"/>
        </w:tab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Item</w:t>
      </w:r>
      <w:r w:rsidRPr="002A54FA">
        <w:rPr>
          <w:rFonts w:eastAsiaTheme="minorHAnsi"/>
          <w:color w:val="000000"/>
          <w:spacing w:val="-1"/>
          <w:sz w:val="16"/>
          <w:szCs w:val="16"/>
        </w:rPr>
        <w:tab/>
        <w:t>Cat. No.</w:t>
      </w:r>
    </w:p>
    <w:p w14:paraId="1EC23589" w14:textId="77777777" w:rsidR="002A54FA" w:rsidRPr="002A54FA" w:rsidRDefault="002A54FA" w:rsidP="002A54FA">
      <w:pPr>
        <w:widowControl/>
        <w:tabs>
          <w:tab w:val="left" w:pos="180"/>
          <w:tab w:val="center" w:pos="3960"/>
        </w:tabs>
        <w:adjustRightInd w:val="0"/>
        <w:spacing w:line="288" w:lineRule="auto"/>
        <w:jc w:val="both"/>
        <w:textAlignment w:val="center"/>
        <w:rPr>
          <w:rFonts w:eastAsiaTheme="minorHAnsi"/>
          <w:color w:val="000000"/>
          <w:spacing w:val="-1"/>
          <w:sz w:val="16"/>
          <w:szCs w:val="16"/>
        </w:rPr>
      </w:pPr>
      <w:r w:rsidRPr="002A54FA">
        <w:rPr>
          <w:rFonts w:eastAsiaTheme="minorHAnsi"/>
          <w:color w:val="000000"/>
          <w:sz w:val="16"/>
          <w:szCs w:val="16"/>
        </w:rPr>
        <w:tab/>
        <w:t>Cascade Abrazo</w:t>
      </w:r>
      <w:r w:rsidRPr="002A54FA">
        <w:rPr>
          <w:rFonts w:eastAsiaTheme="minorHAnsi"/>
          <w:color w:val="000000"/>
          <w:spacing w:val="-1"/>
          <w:sz w:val="16"/>
          <w:szCs w:val="16"/>
        </w:rPr>
        <w:t xml:space="preserve"> Analyzer </w:t>
      </w:r>
      <w:r w:rsidRPr="002A54FA">
        <w:rPr>
          <w:rFonts w:eastAsiaTheme="minorHAnsi"/>
          <w:color w:val="000000"/>
          <w:spacing w:val="-1"/>
          <w:sz w:val="16"/>
          <w:szCs w:val="16"/>
        </w:rPr>
        <w:tab/>
        <w:t>5710</w:t>
      </w:r>
    </w:p>
    <w:p w14:paraId="1B8C8038" w14:textId="77777777" w:rsidR="002A54FA" w:rsidRPr="002A54FA" w:rsidRDefault="002A54FA" w:rsidP="002A54FA">
      <w:pPr>
        <w:widowControl/>
        <w:tabs>
          <w:tab w:val="left" w:pos="180"/>
          <w:tab w:val="center" w:pos="3960"/>
        </w:tabs>
        <w:adjustRightInd w:val="0"/>
        <w:spacing w:line="288" w:lineRule="auto"/>
        <w:jc w:val="both"/>
        <w:textAlignment w:val="center"/>
        <w:rPr>
          <w:rFonts w:eastAsiaTheme="minorHAnsi"/>
          <w:color w:val="000000"/>
          <w:spacing w:val="-1"/>
          <w:sz w:val="16"/>
          <w:szCs w:val="16"/>
        </w:rPr>
      </w:pPr>
      <w:r w:rsidRPr="002A54FA">
        <w:rPr>
          <w:rFonts w:eastAsiaTheme="minorHAnsi"/>
          <w:color w:val="000000"/>
          <w:sz w:val="16"/>
          <w:szCs w:val="16"/>
        </w:rPr>
        <w:tab/>
        <w:t>Cascade Abrazo</w:t>
      </w:r>
      <w:r w:rsidRPr="002A54FA">
        <w:rPr>
          <w:rFonts w:eastAsiaTheme="minorHAnsi"/>
          <w:color w:val="000000"/>
          <w:spacing w:val="-1"/>
          <w:sz w:val="16"/>
          <w:szCs w:val="16"/>
        </w:rPr>
        <w:t xml:space="preserve"> Electronic QC (EQC) Test Card</w:t>
      </w:r>
      <w:r w:rsidRPr="002A54FA">
        <w:rPr>
          <w:rFonts w:eastAsiaTheme="minorHAnsi"/>
          <w:color w:val="000000"/>
          <w:spacing w:val="-1"/>
          <w:sz w:val="16"/>
          <w:szCs w:val="16"/>
        </w:rPr>
        <w:tab/>
        <w:t>5848</w:t>
      </w:r>
    </w:p>
    <w:p w14:paraId="781FA7B4" w14:textId="77777777" w:rsidR="002A54FA" w:rsidRPr="002A54FA" w:rsidRDefault="002A54FA" w:rsidP="002A54FA">
      <w:pPr>
        <w:widowControl/>
        <w:tabs>
          <w:tab w:val="left" w:pos="180"/>
          <w:tab w:val="center" w:pos="3960"/>
        </w:tabs>
        <w:adjustRightInd w:val="0"/>
        <w:spacing w:line="288" w:lineRule="auto"/>
        <w:jc w:val="both"/>
        <w:textAlignment w:val="center"/>
        <w:rPr>
          <w:rFonts w:eastAsiaTheme="minorHAnsi"/>
          <w:color w:val="000000"/>
          <w:spacing w:val="-1"/>
          <w:sz w:val="16"/>
          <w:szCs w:val="16"/>
        </w:rPr>
      </w:pPr>
      <w:r w:rsidRPr="002A54FA">
        <w:rPr>
          <w:rFonts w:eastAsiaTheme="minorHAnsi"/>
          <w:color w:val="000000"/>
          <w:sz w:val="16"/>
          <w:szCs w:val="16"/>
        </w:rPr>
        <w:tab/>
        <w:t>Cascade Abrazo</w:t>
      </w:r>
      <w:r w:rsidRPr="002A54FA">
        <w:rPr>
          <w:rFonts w:eastAsiaTheme="minorHAnsi"/>
          <w:color w:val="000000"/>
          <w:spacing w:val="-1"/>
          <w:sz w:val="16"/>
          <w:szCs w:val="16"/>
        </w:rPr>
        <w:t xml:space="preserve"> </w:t>
      </w:r>
      <w:r w:rsidRPr="002A54FA">
        <w:rPr>
          <w:rFonts w:eastAsiaTheme="minorHAnsi"/>
          <w:color w:val="000000"/>
          <w:sz w:val="16"/>
          <w:szCs w:val="16"/>
        </w:rPr>
        <w:t>PT-WB</w:t>
      </w:r>
      <w:r w:rsidRPr="002A54FA">
        <w:rPr>
          <w:rFonts w:eastAsiaTheme="minorHAnsi"/>
          <w:color w:val="000000"/>
          <w:spacing w:val="-1"/>
          <w:sz w:val="16"/>
          <w:szCs w:val="16"/>
        </w:rPr>
        <w:t xml:space="preserve"> Level 1 Control</w:t>
      </w:r>
      <w:r w:rsidRPr="002A54FA">
        <w:rPr>
          <w:rFonts w:eastAsiaTheme="minorHAnsi"/>
          <w:color w:val="000000"/>
          <w:spacing w:val="-1"/>
          <w:sz w:val="16"/>
          <w:szCs w:val="16"/>
        </w:rPr>
        <w:tab/>
        <w:t>5739</w:t>
      </w:r>
    </w:p>
    <w:p w14:paraId="7171898B" w14:textId="77777777" w:rsidR="002A54FA" w:rsidRPr="002A54FA" w:rsidRDefault="002A54FA" w:rsidP="002A54FA">
      <w:pPr>
        <w:widowControl/>
        <w:tabs>
          <w:tab w:val="left" w:pos="180"/>
          <w:tab w:val="center" w:pos="3960"/>
        </w:tabs>
        <w:adjustRightInd w:val="0"/>
        <w:spacing w:line="288" w:lineRule="auto"/>
        <w:jc w:val="both"/>
        <w:textAlignment w:val="center"/>
        <w:rPr>
          <w:rFonts w:eastAsiaTheme="minorHAnsi"/>
          <w:color w:val="000000"/>
          <w:spacing w:val="-1"/>
          <w:sz w:val="16"/>
          <w:szCs w:val="16"/>
        </w:rPr>
      </w:pPr>
      <w:r w:rsidRPr="002A54FA">
        <w:rPr>
          <w:rFonts w:eastAsiaTheme="minorHAnsi"/>
          <w:color w:val="000000"/>
          <w:sz w:val="16"/>
          <w:szCs w:val="16"/>
        </w:rPr>
        <w:tab/>
        <w:t>Cascade Abrazo</w:t>
      </w:r>
      <w:r w:rsidRPr="002A54FA">
        <w:rPr>
          <w:rFonts w:eastAsiaTheme="minorHAnsi"/>
          <w:color w:val="000000"/>
          <w:spacing w:val="-1"/>
          <w:sz w:val="16"/>
          <w:szCs w:val="16"/>
        </w:rPr>
        <w:t xml:space="preserve"> </w:t>
      </w:r>
      <w:r w:rsidRPr="002A54FA">
        <w:rPr>
          <w:rFonts w:eastAsiaTheme="minorHAnsi"/>
          <w:color w:val="000000"/>
          <w:sz w:val="16"/>
          <w:szCs w:val="16"/>
        </w:rPr>
        <w:t>PT-WB</w:t>
      </w:r>
      <w:r w:rsidRPr="002A54FA">
        <w:rPr>
          <w:rFonts w:eastAsiaTheme="minorHAnsi"/>
          <w:color w:val="000000"/>
          <w:spacing w:val="-1"/>
          <w:sz w:val="16"/>
          <w:szCs w:val="16"/>
        </w:rPr>
        <w:t xml:space="preserve"> Level 2 Control</w:t>
      </w:r>
      <w:r w:rsidRPr="002A54FA">
        <w:rPr>
          <w:rFonts w:eastAsiaTheme="minorHAnsi"/>
          <w:color w:val="000000"/>
          <w:spacing w:val="-1"/>
          <w:sz w:val="16"/>
          <w:szCs w:val="16"/>
        </w:rPr>
        <w:tab/>
        <w:t>5740</w:t>
      </w:r>
    </w:p>
    <w:p w14:paraId="2BB67BBB" w14:textId="77777777" w:rsidR="002A54FA" w:rsidRPr="002A54FA" w:rsidRDefault="002A54FA" w:rsidP="002A54FA">
      <w:pPr>
        <w:widowControl/>
        <w:tabs>
          <w:tab w:val="left" w:pos="180"/>
          <w:tab w:val="center" w:pos="3960"/>
        </w:tabs>
        <w:adjustRightInd w:val="0"/>
        <w:spacing w:line="288" w:lineRule="auto"/>
        <w:jc w:val="both"/>
        <w:textAlignment w:val="center"/>
        <w:rPr>
          <w:rFonts w:eastAsiaTheme="minorHAnsi"/>
          <w:color w:val="000000"/>
          <w:spacing w:val="-1"/>
          <w:sz w:val="16"/>
          <w:szCs w:val="16"/>
        </w:rPr>
      </w:pPr>
      <w:r w:rsidRPr="002A54FA">
        <w:rPr>
          <w:rFonts w:eastAsiaTheme="minorHAnsi"/>
          <w:color w:val="000000"/>
          <w:sz w:val="16"/>
          <w:szCs w:val="16"/>
        </w:rPr>
        <w:tab/>
        <w:t>Cascade PT-WB</w:t>
      </w:r>
      <w:r w:rsidRPr="002A54FA">
        <w:rPr>
          <w:rFonts w:eastAsiaTheme="minorHAnsi"/>
          <w:color w:val="000000"/>
          <w:spacing w:val="-1"/>
          <w:sz w:val="16"/>
          <w:szCs w:val="16"/>
        </w:rPr>
        <w:t xml:space="preserve"> Dispo Capillary Pipettes (500/pkg)</w:t>
      </w:r>
      <w:r w:rsidRPr="002A54FA">
        <w:rPr>
          <w:rFonts w:eastAsiaTheme="minorHAnsi"/>
          <w:color w:val="000000"/>
          <w:spacing w:val="-1"/>
          <w:sz w:val="16"/>
          <w:szCs w:val="16"/>
        </w:rPr>
        <w:tab/>
        <w:t>5800</w:t>
      </w:r>
    </w:p>
    <w:p w14:paraId="12B56D82"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b/>
          <w:bCs/>
          <w:color w:val="000000"/>
          <w:spacing w:val="-1"/>
          <w:sz w:val="16"/>
          <w:szCs w:val="16"/>
        </w:rPr>
      </w:pPr>
      <w:r w:rsidRPr="002A54FA">
        <w:rPr>
          <w:rFonts w:eastAsiaTheme="minorHAnsi"/>
          <w:b/>
          <w:bCs/>
          <w:color w:val="000000"/>
          <w:spacing w:val="-1"/>
          <w:sz w:val="16"/>
          <w:szCs w:val="16"/>
        </w:rPr>
        <w:t xml:space="preserve">Materials Required </w:t>
      </w:r>
      <w:proofErr w:type="gramStart"/>
      <w:r w:rsidRPr="002A54FA">
        <w:rPr>
          <w:rFonts w:eastAsiaTheme="minorHAnsi"/>
          <w:b/>
          <w:bCs/>
          <w:color w:val="000000"/>
          <w:spacing w:val="-1"/>
          <w:sz w:val="16"/>
          <w:szCs w:val="16"/>
        </w:rPr>
        <w:t>But</w:t>
      </w:r>
      <w:proofErr w:type="gramEnd"/>
      <w:r w:rsidRPr="002A54FA">
        <w:rPr>
          <w:rFonts w:eastAsiaTheme="minorHAnsi"/>
          <w:b/>
          <w:bCs/>
          <w:color w:val="000000"/>
          <w:spacing w:val="-1"/>
          <w:sz w:val="16"/>
          <w:szCs w:val="16"/>
        </w:rPr>
        <w:t xml:space="preserve"> Not Provided:</w:t>
      </w:r>
    </w:p>
    <w:p w14:paraId="5536CD05" w14:textId="3474D97A"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Blood</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sampling materials</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such as</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lancets</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venipuncture</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needles</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syringes</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alcohol</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swabs</w:t>
      </w:r>
      <w:r w:rsidRPr="002A54FA">
        <w:rPr>
          <w:rFonts w:eastAsiaTheme="minorHAnsi"/>
          <w:color w:val="000000"/>
          <w:spacing w:val="-1"/>
          <w:w w:val="90"/>
          <w:sz w:val="16"/>
          <w:szCs w:val="16"/>
        </w:rPr>
        <w:t xml:space="preserve">, </w:t>
      </w:r>
      <w:r w:rsidRPr="002A54FA">
        <w:rPr>
          <w:rFonts w:eastAsiaTheme="minorHAnsi"/>
          <w:color w:val="000000"/>
          <w:spacing w:val="-1"/>
          <w:sz w:val="16"/>
          <w:szCs w:val="16"/>
        </w:rPr>
        <w:t>gauze</w:t>
      </w:r>
    </w:p>
    <w:p w14:paraId="32642CE2"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step-by-step</w:t>
      </w:r>
    </w:p>
    <w:p w14:paraId="481A9B70" w14:textId="0E92E556"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1.</w:t>
      </w:r>
      <w:r w:rsidRPr="002A54FA">
        <w:rPr>
          <w:rFonts w:eastAsiaTheme="minorHAnsi"/>
          <w:color w:val="000000"/>
          <w:spacing w:val="-1"/>
          <w:sz w:val="16"/>
          <w:szCs w:val="16"/>
        </w:rPr>
        <w:tab/>
        <w:t>Refer to the Abrazo Operator's manual for appropriate analyte set up procedures.</w:t>
      </w:r>
    </w:p>
    <w:p w14:paraId="3FCA0083" w14:textId="41A26895"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2.</w:t>
      </w:r>
      <w:r w:rsidRPr="002A54FA">
        <w:rPr>
          <w:rFonts w:eastAsiaTheme="minorHAnsi"/>
          <w:color w:val="000000"/>
          <w:spacing w:val="-1"/>
          <w:sz w:val="16"/>
          <w:szCs w:val="16"/>
        </w:rPr>
        <w:tab/>
        <w:t>Equilibrate test cards at room temperature (15 to 25°C, or 59 to 77°F) for a minimum of 15 minutes before removing from the foil pouch.</w:t>
      </w:r>
    </w:p>
    <w:p w14:paraId="43827FDA" w14:textId="12D6485A"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b/>
          <w:bCs/>
          <w:color w:val="000000"/>
          <w:spacing w:val="-1"/>
          <w:sz w:val="16"/>
          <w:szCs w:val="16"/>
        </w:rPr>
        <w:lastRenderedPageBreak/>
        <w:t>CAUTION:</w:t>
      </w:r>
      <w:r w:rsidRPr="002A54FA">
        <w:rPr>
          <w:rFonts w:eastAsiaTheme="minorHAnsi"/>
          <w:color w:val="000000"/>
          <w:spacing w:val="-1"/>
          <w:sz w:val="16"/>
          <w:szCs w:val="16"/>
        </w:rPr>
        <w:t xml:space="preserve"> The test card </w:t>
      </w:r>
      <w:r w:rsidRPr="002A54FA">
        <w:rPr>
          <w:rFonts w:eastAsiaTheme="minorHAnsi"/>
          <w:color w:val="000000"/>
          <w:spacing w:val="-1"/>
          <w:sz w:val="16"/>
          <w:szCs w:val="16"/>
          <w:u w:val="thick"/>
        </w:rPr>
        <w:t>must</w:t>
      </w:r>
      <w:r w:rsidRPr="002A54FA">
        <w:rPr>
          <w:rFonts w:eastAsiaTheme="minorHAnsi"/>
          <w:color w:val="000000"/>
          <w:spacing w:val="-1"/>
          <w:sz w:val="16"/>
          <w:szCs w:val="16"/>
        </w:rPr>
        <w:t xml:space="preserve"> be used within 15 minutes </w:t>
      </w:r>
      <w:r w:rsidRPr="002A54FA">
        <w:rPr>
          <w:rFonts w:eastAsiaTheme="minorHAnsi"/>
          <w:color w:val="000000"/>
          <w:spacing w:val="-1"/>
          <w:sz w:val="16"/>
          <w:szCs w:val="16"/>
          <w:u w:val="thick"/>
        </w:rPr>
        <w:t>after</w:t>
      </w:r>
      <w:r w:rsidRPr="002A54FA">
        <w:rPr>
          <w:rFonts w:eastAsiaTheme="minorHAnsi"/>
          <w:color w:val="000000"/>
          <w:spacing w:val="-1"/>
          <w:sz w:val="16"/>
          <w:szCs w:val="16"/>
        </w:rPr>
        <w:t xml:space="preserve"> the pouch is opened. Pouches of cards should </w:t>
      </w:r>
      <w:r w:rsidRPr="002A54FA">
        <w:rPr>
          <w:rFonts w:eastAsiaTheme="minorHAnsi"/>
          <w:color w:val="000000"/>
          <w:spacing w:val="-1"/>
          <w:sz w:val="16"/>
          <w:szCs w:val="16"/>
          <w:u w:val="thick"/>
        </w:rPr>
        <w:t>not</w:t>
      </w:r>
      <w:r w:rsidRPr="002A54FA">
        <w:rPr>
          <w:rFonts w:eastAsiaTheme="minorHAnsi"/>
          <w:color w:val="000000"/>
          <w:spacing w:val="-1"/>
          <w:sz w:val="16"/>
          <w:szCs w:val="16"/>
        </w:rPr>
        <w:t xml:space="preserve"> be repeatedly warmed and returned to the refrigerator. </w:t>
      </w:r>
    </w:p>
    <w:p w14:paraId="006F9502" w14:textId="295FD2EE"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3.</w:t>
      </w:r>
      <w:r w:rsidRPr="002A54FA">
        <w:rPr>
          <w:rFonts w:eastAsiaTheme="minorHAnsi"/>
          <w:color w:val="000000"/>
          <w:spacing w:val="-1"/>
          <w:sz w:val="16"/>
          <w:szCs w:val="16"/>
        </w:rPr>
        <w:tab/>
        <w:t>Select patient test from main menu on Abrazo. Remove the test card from its foil pouch and hold it backwards with the barcode facing the Abrazo, approximately 6 to 8 inches from the Abrazo.</w:t>
      </w:r>
    </w:p>
    <w:p w14:paraId="53B413CA" w14:textId="1736B8E4"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4.</w:t>
      </w:r>
      <w:r w:rsidRPr="002A54FA">
        <w:rPr>
          <w:rFonts w:eastAsiaTheme="minorHAnsi"/>
          <w:color w:val="000000"/>
          <w:spacing w:val="-1"/>
          <w:sz w:val="16"/>
          <w:szCs w:val="16"/>
        </w:rPr>
        <w:tab/>
        <w:t>Tilt the card backwards slightly (approx. 15 degrees) and scan the encoded 2D barcode in the middle of the card. The analyzer interprets the encoded information on the test card and display prompts for each step of the procedure.</w:t>
      </w:r>
    </w:p>
    <w:p w14:paraId="3E6810B7" w14:textId="589CECD6"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5.</w:t>
      </w:r>
      <w:r w:rsidRPr="002A54FA">
        <w:rPr>
          <w:rFonts w:eastAsiaTheme="minorHAnsi"/>
          <w:color w:val="000000"/>
          <w:spacing w:val="-1"/>
          <w:sz w:val="16"/>
          <w:szCs w:val="16"/>
        </w:rPr>
        <w:tab/>
        <w:t>When prompted, place the test card in the analyzer, and allow to warm. Once the card is warmed, the Abrazo starts a countdown for the sample addition.</w:t>
      </w:r>
      <w:r w:rsidRPr="002A54FA">
        <w:rPr>
          <w:rFonts w:eastAsiaTheme="minorHAnsi"/>
          <w:color w:val="000000"/>
          <w:spacing w:val="-1"/>
          <w:sz w:val="16"/>
          <w:szCs w:val="16"/>
        </w:rPr>
        <w:br/>
      </w:r>
      <w:r w:rsidRPr="002A54FA">
        <w:rPr>
          <w:rFonts w:eastAsiaTheme="minorHAnsi"/>
          <w:b/>
          <w:bCs/>
          <w:color w:val="000000"/>
          <w:spacing w:val="-1"/>
          <w:sz w:val="16"/>
          <w:szCs w:val="16"/>
        </w:rPr>
        <w:t>CAUTION:</w:t>
      </w:r>
      <w:r w:rsidRPr="002A54FA">
        <w:rPr>
          <w:rFonts w:eastAsiaTheme="minorHAnsi"/>
          <w:color w:val="000000"/>
          <w:spacing w:val="-1"/>
          <w:sz w:val="16"/>
          <w:szCs w:val="16"/>
        </w:rPr>
        <w:t xml:space="preserve"> The Abrazo will only perform tests on test cards and sample types that have been entered into the instrument's setup menu.</w:t>
      </w:r>
    </w:p>
    <w:p w14:paraId="395603BD" w14:textId="5E1B4E6F" w:rsidR="002A54FA" w:rsidRPr="002A54FA" w:rsidRDefault="002A54FA" w:rsidP="002A54FA">
      <w:pPr>
        <w:widowControl/>
        <w:tabs>
          <w:tab w:val="right" w:pos="140"/>
          <w:tab w:val="left" w:pos="180"/>
          <w:tab w:val="left" w:pos="320"/>
          <w:tab w:val="right" w:pos="56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6.</w:t>
      </w:r>
      <w:r w:rsidRPr="002A54FA">
        <w:rPr>
          <w:rFonts w:eastAsiaTheme="minorHAnsi"/>
          <w:color w:val="000000"/>
          <w:spacing w:val="-1"/>
          <w:sz w:val="16"/>
          <w:szCs w:val="16"/>
        </w:rPr>
        <w:tab/>
        <w:t xml:space="preserve">Holding the sample transfer device at least one inch above the sample well (colored circle) on the test card, add 30 to 35 µL of free-falling sample. </w:t>
      </w:r>
      <w:r w:rsidRPr="002A54FA">
        <w:rPr>
          <w:rFonts w:eastAsiaTheme="minorHAnsi"/>
          <w:b/>
          <w:bCs/>
          <w:color w:val="000000"/>
          <w:spacing w:val="-1"/>
          <w:sz w:val="16"/>
          <w:szCs w:val="16"/>
        </w:rPr>
        <w:t>NOTE:</w:t>
      </w:r>
      <w:r w:rsidRPr="002A54FA">
        <w:rPr>
          <w:rFonts w:eastAsiaTheme="minorHAnsi"/>
          <w:color w:val="000000"/>
          <w:spacing w:val="-1"/>
          <w:sz w:val="16"/>
          <w:szCs w:val="16"/>
        </w:rPr>
        <w:t xml:space="preserve"> Do not allow the transfer device nor the hanging sample drop to contact the test card when applying the sample. Sample placement automatically initiates testing.</w:t>
      </w:r>
    </w:p>
    <w:p w14:paraId="33DA3989" w14:textId="0E2B09AB" w:rsidR="002A54FA" w:rsidRPr="002A54FA" w:rsidRDefault="002A54FA" w:rsidP="002A54FA">
      <w:pPr>
        <w:widowControl/>
        <w:tabs>
          <w:tab w:val="right" w:pos="140"/>
          <w:tab w:val="left" w:pos="180"/>
          <w:tab w:val="left" w:pos="320"/>
          <w:tab w:val="right" w:pos="56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7.</w:t>
      </w:r>
      <w:r w:rsidRPr="002A54FA">
        <w:rPr>
          <w:rFonts w:eastAsiaTheme="minorHAnsi"/>
          <w:color w:val="000000"/>
          <w:spacing w:val="-1"/>
          <w:sz w:val="16"/>
          <w:szCs w:val="16"/>
        </w:rPr>
        <w:tab/>
        <w:t>At the end of the test, confirm that the test was performed with the analyzer set to the appropriate sample type. The sample type is displayed along with the result at the end of the test.</w:t>
      </w:r>
    </w:p>
    <w:p w14:paraId="55DE085F" w14:textId="50C77046" w:rsidR="002A54FA" w:rsidRPr="002A54FA" w:rsidRDefault="002A54FA" w:rsidP="002A54FA">
      <w:pPr>
        <w:widowControl/>
        <w:tabs>
          <w:tab w:val="right" w:pos="140"/>
          <w:tab w:val="left" w:pos="180"/>
          <w:tab w:val="left" w:pos="320"/>
          <w:tab w:val="right" w:pos="56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8.</w:t>
      </w:r>
      <w:r w:rsidRPr="002A54FA">
        <w:rPr>
          <w:rFonts w:eastAsiaTheme="minorHAnsi"/>
          <w:color w:val="000000"/>
          <w:spacing w:val="-1"/>
          <w:sz w:val="16"/>
          <w:szCs w:val="16"/>
        </w:rPr>
        <w:tab/>
        <w:t>When the card is removed from the analyzer at the end of each test, ensure that the entire reaction chamber was filled with sample. If an inadequate amount of sample was added to the card, repeat the test, using a fresh card.</w:t>
      </w:r>
    </w:p>
    <w:p w14:paraId="41F408EA" w14:textId="3983D894" w:rsidR="002A54FA" w:rsidRPr="002A54FA" w:rsidRDefault="002A54FA" w:rsidP="002A54FA">
      <w:pPr>
        <w:widowControl/>
        <w:tabs>
          <w:tab w:val="right" w:pos="140"/>
          <w:tab w:val="left" w:pos="180"/>
          <w:tab w:val="left" w:pos="320"/>
          <w:tab w:val="right" w:pos="56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9.</w:t>
      </w:r>
      <w:r w:rsidRPr="002A54FA">
        <w:rPr>
          <w:rFonts w:eastAsiaTheme="minorHAnsi"/>
          <w:color w:val="000000"/>
          <w:spacing w:val="-1"/>
          <w:sz w:val="16"/>
          <w:szCs w:val="16"/>
        </w:rPr>
        <w:tab/>
        <w:t>After testing is complete, inspect the test card. Refer to the Operator Manual for images of the test card for comparison.</w:t>
      </w:r>
    </w:p>
    <w:p w14:paraId="4A06E222" w14:textId="12187EDC" w:rsidR="002A54FA" w:rsidRPr="002A54FA" w:rsidRDefault="002A54FA" w:rsidP="002A54FA">
      <w:pPr>
        <w:widowControl/>
        <w:tabs>
          <w:tab w:val="right" w:pos="140"/>
          <w:tab w:val="left" w:pos="180"/>
          <w:tab w:val="left" w:pos="320"/>
          <w:tab w:val="right" w:pos="56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10.</w:t>
      </w:r>
      <w:r w:rsidRPr="002A54FA">
        <w:rPr>
          <w:rFonts w:eastAsiaTheme="minorHAnsi"/>
          <w:color w:val="000000"/>
          <w:spacing w:val="-1"/>
          <w:sz w:val="16"/>
          <w:szCs w:val="16"/>
        </w:rPr>
        <w:tab/>
        <w:t>Dispose of the test card and other contaminated items in a manner approved for biohazardous material.</w:t>
      </w:r>
      <w:r w:rsidRPr="002A54FA">
        <w:rPr>
          <w:rFonts w:eastAsiaTheme="minorHAnsi"/>
          <w:color w:val="000000"/>
          <w:spacing w:val="-1"/>
          <w:sz w:val="16"/>
          <w:szCs w:val="16"/>
          <w:vertAlign w:val="superscript"/>
        </w:rPr>
        <w:t>7-9</w:t>
      </w:r>
    </w:p>
    <w:p w14:paraId="051E0620" w14:textId="77777777" w:rsidR="002A54FA" w:rsidRPr="002A54FA" w:rsidRDefault="002A54FA" w:rsidP="002A54FA">
      <w:pPr>
        <w:widowControl/>
        <w:adjustRightInd w:val="0"/>
        <w:spacing w:before="40" w:line="288" w:lineRule="auto"/>
        <w:textAlignment w:val="center"/>
        <w:rPr>
          <w:rFonts w:eastAsiaTheme="minorHAnsi"/>
          <w:b/>
          <w:bCs/>
          <w:caps/>
          <w:color w:val="000000"/>
          <w:sz w:val="16"/>
          <w:szCs w:val="16"/>
        </w:rPr>
      </w:pPr>
      <w:r w:rsidRPr="002A54FA">
        <w:rPr>
          <w:rFonts w:eastAsiaTheme="minorHAnsi"/>
          <w:b/>
          <w:bCs/>
          <w:caps/>
          <w:color w:val="000000"/>
          <w:sz w:val="16"/>
          <w:szCs w:val="16"/>
        </w:rPr>
        <w:t>Procedural Notes</w:t>
      </w:r>
    </w:p>
    <w:p w14:paraId="6BDDAFF2" w14:textId="2620204C"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The analyzer is preset to provide a constant temperature of 37 ± 0.3°C (98.6 ± 0.5°F) and will automatically prewarm the test card before prompting the user to apply the sample drop. All other calibrations necessary are encoded on the 2D barcode of each test card. Refer to the operator’s manual</w:t>
      </w:r>
      <w:r w:rsidRPr="002A54FA">
        <w:rPr>
          <w:rFonts w:eastAsiaTheme="minorHAnsi"/>
          <w:i/>
          <w:iCs/>
          <w:color w:val="000000"/>
          <w:spacing w:val="-1"/>
          <w:sz w:val="16"/>
          <w:szCs w:val="16"/>
        </w:rPr>
        <w:t xml:space="preserve"> </w:t>
      </w:r>
      <w:r w:rsidRPr="002A54FA">
        <w:rPr>
          <w:rFonts w:eastAsiaTheme="minorHAnsi"/>
          <w:color w:val="000000"/>
          <w:spacing w:val="-1"/>
          <w:sz w:val="16"/>
          <w:szCs w:val="16"/>
        </w:rPr>
        <w:t>for details.</w:t>
      </w:r>
    </w:p>
    <w:p w14:paraId="32B3CB34" w14:textId="244FD80D"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To maintain a fully charged battery, leave the unit plugged into its power supply which is, in turn, plugged into an AC outlet.</w:t>
      </w:r>
      <w:r w:rsidRPr="002A54FA">
        <w:rPr>
          <w:rFonts w:eastAsiaTheme="minorHAnsi"/>
          <w:color w:val="000000"/>
          <w:spacing w:val="-1"/>
          <w:w w:val="90"/>
          <w:sz w:val="16"/>
          <w:szCs w:val="16"/>
        </w:rPr>
        <w:t xml:space="preserve"> </w:t>
      </w:r>
    </w:p>
    <w:p w14:paraId="36876022" w14:textId="7C6E08AD"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The Operator Identification Code and the Quality Control Lockout are optional features. Refer to the operator’s manual if either of these features has been enabled.</w:t>
      </w:r>
    </w:p>
    <w:p w14:paraId="027FD4D1" w14:textId="6ED1A9DA"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Operate the analyzer only at ambient temperatures between 15 to 32°C (59 to 90°F).</w:t>
      </w:r>
    </w:p>
    <w:p w14:paraId="7D140EF1" w14:textId="056E2D6F"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Ensure that the sealed pouch containing a test card has reached room temperature and that the analyzer is either plugged into an appropriate AC wall outlet or has a sufficiently charged battery.</w:t>
      </w:r>
    </w:p>
    <w:p w14:paraId="058E3C87" w14:textId="2910D2A8"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 xml:space="preserve">Collect the sample as described in </w:t>
      </w:r>
      <w:r w:rsidRPr="002A54FA">
        <w:rPr>
          <w:rFonts w:eastAsiaTheme="minorHAnsi"/>
          <w:i/>
          <w:iCs/>
          <w:color w:val="000000"/>
          <w:spacing w:val="-1"/>
          <w:sz w:val="16"/>
          <w:szCs w:val="16"/>
        </w:rPr>
        <w:t>Specimen Collection and Preparation</w:t>
      </w:r>
      <w:r w:rsidRPr="002A54FA">
        <w:rPr>
          <w:rFonts w:eastAsiaTheme="minorHAnsi"/>
          <w:color w:val="000000"/>
          <w:spacing w:val="-1"/>
          <w:sz w:val="16"/>
          <w:szCs w:val="16"/>
        </w:rPr>
        <w:t>.</w:t>
      </w:r>
    </w:p>
    <w:p w14:paraId="3CB4ACBC" w14:textId="4AA7F939"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After the test card is inserted into the Abrazo, the card should not be touched until the test has been completed.</w:t>
      </w:r>
    </w:p>
    <w:p w14:paraId="7A5369C8"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Quality Control</w:t>
      </w:r>
    </w:p>
    <w:p w14:paraId="6D0E146A"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b/>
          <w:bCs/>
          <w:color w:val="000000"/>
          <w:spacing w:val="-2"/>
          <w:sz w:val="16"/>
          <w:szCs w:val="16"/>
        </w:rPr>
        <w:t>Calibration:</w:t>
      </w:r>
      <w:r w:rsidRPr="002A54FA">
        <w:rPr>
          <w:rFonts w:eastAsiaTheme="minorHAnsi"/>
          <w:color w:val="000000"/>
          <w:spacing w:val="-2"/>
          <w:sz w:val="16"/>
          <w:szCs w:val="16"/>
        </w:rPr>
        <w:t xml:space="preserve"> Operator calibration is not required. Calibration of both the analyzer and test cards was performed at the time of manufacture.</w:t>
      </w:r>
    </w:p>
    <w:p w14:paraId="503222F7"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Daily quality control (QC) is good laboratory practice and is required by most states in the U.S. and the Clinical Laboratory Improvement Amendment, 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that QC programs meet established standards. Participation in proficiency survey programs allows for the comparison with systems in other laboratories and may help identify possible errors not detected by intra-laboratory QC testing alone.</w:t>
      </w:r>
    </w:p>
    <w:p w14:paraId="2E742C55"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There are two types of quality control that may be used on the Cascade Abrazo:  Electronic Quality Control (EQC Test Card) and plasma controls.</w:t>
      </w:r>
    </w:p>
    <w:p w14:paraId="39D5811C"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 xml:space="preserve">The EQC Test Card ensures that the electronic components of the Cascade Abrazo analyzer are working properly.  The purpose of the EQC Test Card is to offer a simple and economic alternative to the daily use of Cascade Abrazo test cards and plasma controls. However, the EQC test card is </w:t>
      </w:r>
      <w:r w:rsidRPr="002A54FA">
        <w:rPr>
          <w:rFonts w:eastAsiaTheme="minorHAnsi"/>
          <w:b/>
          <w:bCs/>
          <w:i/>
          <w:iCs/>
          <w:color w:val="000000"/>
          <w:spacing w:val="-1"/>
          <w:sz w:val="16"/>
          <w:szCs w:val="16"/>
          <w:u w:val="thick"/>
        </w:rPr>
        <w:t>not</w:t>
      </w:r>
      <w:r w:rsidRPr="002A54FA">
        <w:rPr>
          <w:rFonts w:eastAsiaTheme="minorHAnsi"/>
          <w:color w:val="000000"/>
          <w:spacing w:val="-1"/>
          <w:sz w:val="16"/>
          <w:szCs w:val="16"/>
        </w:rPr>
        <w:t xml:space="preserve"> intended to permanently replace plasma controls. </w:t>
      </w:r>
    </w:p>
    <w:p w14:paraId="4EC6ECE8"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z w:val="16"/>
          <w:szCs w:val="16"/>
        </w:rPr>
      </w:pPr>
      <w:r w:rsidRPr="002A54FA">
        <w:rPr>
          <w:rFonts w:eastAsiaTheme="minorHAnsi"/>
          <w:color w:val="000000"/>
          <w:sz w:val="16"/>
          <w:szCs w:val="16"/>
        </w:rPr>
        <w:t>EQC quality control must be performed every 8 hours of operation when patient samples are tested. It is imperative that, at a minimum, plasma controls are tested in the following situations:</w:t>
      </w:r>
    </w:p>
    <w:p w14:paraId="407B6309"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With each new box of test cards or at least once per week</w:t>
      </w:r>
    </w:p>
    <w:p w14:paraId="5893398B"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With each new shipment of test cards</w:t>
      </w:r>
    </w:p>
    <w:p w14:paraId="23136B34"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With each new lot number of test cards or controls</w:t>
      </w:r>
    </w:p>
    <w:p w14:paraId="3B047E56" w14:textId="2A77A2A9"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Whenever improper storage or handling of test cards is suspected</w:t>
      </w:r>
    </w:p>
    <w:p w14:paraId="366F77EB"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w:t>
      </w:r>
      <w:r w:rsidRPr="002A54FA">
        <w:rPr>
          <w:rFonts w:eastAsiaTheme="minorHAnsi"/>
          <w:color w:val="000000"/>
          <w:spacing w:val="-1"/>
          <w:sz w:val="16"/>
          <w:szCs w:val="16"/>
        </w:rPr>
        <w:tab/>
        <w:t>Whenever patient results appear abnormally high or low</w:t>
      </w:r>
    </w:p>
    <w:p w14:paraId="6D584191"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z w:val="16"/>
          <w:szCs w:val="16"/>
        </w:rPr>
      </w:pPr>
      <w:r w:rsidRPr="002A54FA">
        <w:rPr>
          <w:rFonts w:eastAsiaTheme="minorHAnsi"/>
          <w:color w:val="000000"/>
          <w:sz w:val="16"/>
          <w:szCs w:val="16"/>
        </w:rPr>
        <w:t>This testing is in addition to the daily EQC testing. For more detailed information about quality control for the Cascade Abrazo, refer to the Cascade Abrazo Operator's Manual, the EQC test card package inserts, or contact your local authorized distributor.</w:t>
      </w:r>
    </w:p>
    <w:p w14:paraId="6DD857A7"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REFERENCE Values</w:t>
      </w:r>
    </w:p>
    <w:p w14:paraId="1FA784CD"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Samples from 198 normal individuals were tested with the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WB test card. The CLSI C28-A3</w:t>
      </w:r>
      <w:r w:rsidRPr="002A54FA">
        <w:rPr>
          <w:rFonts w:eastAsiaTheme="minorHAnsi"/>
          <w:color w:val="000000"/>
          <w:spacing w:val="-1"/>
          <w:sz w:val="16"/>
          <w:szCs w:val="16"/>
          <w:vertAlign w:val="superscript"/>
        </w:rPr>
        <w:t>9</w:t>
      </w:r>
      <w:r w:rsidRPr="002A54FA">
        <w:rPr>
          <w:rFonts w:eastAsiaTheme="minorHAnsi"/>
          <w:color w:val="000000"/>
          <w:spacing w:val="-1"/>
          <w:sz w:val="16"/>
          <w:szCs w:val="16"/>
        </w:rPr>
        <w:t xml:space="preserve"> nonparametric 95% reference intervals obtained for fresh whole blood are 11.1 to 16.7 seconds and 0.8 to 1.2 INR. These results should be used as a guideline only. Operators should establish their own expected values based on their own population of normal individuals. It is suggested that a minimum of 20 individuals be included in the study. Specimens should be collected and handled in the same manner that the operator expects to use for patients.</w:t>
      </w:r>
    </w:p>
    <w:p w14:paraId="789E6BEF"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Results</w:t>
      </w:r>
    </w:p>
    <w:p w14:paraId="709FAA41"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 xml:space="preserve">The analyzer reporting units are in seconds. The results are displayed at the end of the test procedure. The analyzer automatically calculates the ratio of the patient’s result to the mean of the normal range. </w:t>
      </w:r>
    </w:p>
    <w:p w14:paraId="38537853" w14:textId="77777777" w:rsidR="002A54FA" w:rsidRPr="002A54FA" w:rsidRDefault="002A54FA" w:rsidP="002A54FA">
      <w:pPr>
        <w:widowControl/>
        <w:tabs>
          <w:tab w:val="left" w:pos="180"/>
          <w:tab w:val="left" w:pos="320"/>
          <w:tab w:val="left" w:pos="460"/>
          <w:tab w:val="left" w:pos="84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Example:</w:t>
      </w:r>
      <w:r w:rsidRPr="002A54FA">
        <w:rPr>
          <w:rFonts w:eastAsiaTheme="minorHAnsi"/>
          <w:color w:val="000000"/>
          <w:spacing w:val="-1"/>
          <w:sz w:val="16"/>
          <w:szCs w:val="16"/>
        </w:rPr>
        <w:tab/>
        <w:t>Patient Time = 20.0 sec</w:t>
      </w:r>
    </w:p>
    <w:p w14:paraId="753BD39A" w14:textId="77777777" w:rsidR="002A54FA" w:rsidRPr="002A54FA" w:rsidRDefault="002A54FA" w:rsidP="002A54FA">
      <w:pPr>
        <w:widowControl/>
        <w:tabs>
          <w:tab w:val="left" w:pos="180"/>
          <w:tab w:val="left" w:pos="320"/>
          <w:tab w:val="left" w:pos="460"/>
          <w:tab w:val="left" w:pos="84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r>
      <w:r w:rsidRPr="002A54FA">
        <w:rPr>
          <w:rFonts w:eastAsiaTheme="minorHAnsi"/>
          <w:color w:val="000000"/>
          <w:spacing w:val="-1"/>
          <w:sz w:val="16"/>
          <w:szCs w:val="16"/>
        </w:rPr>
        <w:tab/>
      </w:r>
      <w:r w:rsidRPr="002A54FA">
        <w:rPr>
          <w:rFonts w:eastAsiaTheme="minorHAnsi"/>
          <w:color w:val="000000"/>
          <w:spacing w:val="-1"/>
          <w:sz w:val="16"/>
          <w:szCs w:val="16"/>
        </w:rPr>
        <w:tab/>
      </w:r>
      <w:r w:rsidRPr="002A54FA">
        <w:rPr>
          <w:rFonts w:eastAsiaTheme="minorHAnsi"/>
          <w:color w:val="000000"/>
          <w:spacing w:val="-1"/>
          <w:sz w:val="16"/>
          <w:szCs w:val="16"/>
        </w:rPr>
        <w:tab/>
        <w:t>Mean Normal PT= 9.7 sec</w:t>
      </w:r>
    </w:p>
    <w:p w14:paraId="1331B7C7" w14:textId="77777777" w:rsidR="002A54FA" w:rsidRPr="002A54FA" w:rsidRDefault="002A54FA" w:rsidP="002A54FA">
      <w:pPr>
        <w:widowControl/>
        <w:tabs>
          <w:tab w:val="left" w:pos="180"/>
          <w:tab w:val="left" w:pos="320"/>
          <w:tab w:val="left" w:pos="460"/>
          <w:tab w:val="left" w:pos="84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 xml:space="preserve"> </w:t>
      </w:r>
      <w:r w:rsidRPr="002A54FA">
        <w:rPr>
          <w:rFonts w:eastAsiaTheme="minorHAnsi"/>
          <w:color w:val="000000"/>
          <w:spacing w:val="-1"/>
          <w:sz w:val="16"/>
          <w:szCs w:val="16"/>
        </w:rPr>
        <w:tab/>
      </w:r>
      <w:r w:rsidRPr="002A54FA">
        <w:rPr>
          <w:rFonts w:eastAsiaTheme="minorHAnsi"/>
          <w:color w:val="000000"/>
          <w:spacing w:val="-1"/>
          <w:sz w:val="16"/>
          <w:szCs w:val="16"/>
        </w:rPr>
        <w:tab/>
      </w:r>
      <w:r w:rsidRPr="002A54FA">
        <w:rPr>
          <w:rFonts w:eastAsiaTheme="minorHAnsi"/>
          <w:color w:val="000000"/>
          <w:spacing w:val="-1"/>
          <w:sz w:val="16"/>
          <w:szCs w:val="16"/>
        </w:rPr>
        <w:tab/>
      </w:r>
      <w:r w:rsidRPr="002A54FA">
        <w:rPr>
          <w:rFonts w:eastAsiaTheme="minorHAnsi"/>
          <w:color w:val="000000"/>
          <w:spacing w:val="-1"/>
          <w:sz w:val="16"/>
          <w:szCs w:val="16"/>
        </w:rPr>
        <w:tab/>
        <w:t>Ratio = 2.1</w:t>
      </w:r>
    </w:p>
    <w:p w14:paraId="75641871"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 mean value is encoded on each card and can be modified through the supervisory menu. Refer to the operator’s manual for instructions. The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WB test is capable of reporting results up to 150 seconds. Verify results &gt; 150 seconds by repeat testing.</w:t>
      </w:r>
    </w:p>
    <w:p w14:paraId="1C0AAE60"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b/>
          <w:bCs/>
          <w:color w:val="000000"/>
          <w:spacing w:val="-1"/>
          <w:sz w:val="16"/>
          <w:szCs w:val="16"/>
        </w:rPr>
        <w:t>International Normalized Ratio (INR):</w:t>
      </w:r>
      <w:r w:rsidRPr="002A54FA">
        <w:rPr>
          <w:rFonts w:eastAsiaTheme="minorHAnsi"/>
          <w:color w:val="000000"/>
          <w:spacing w:val="-1"/>
          <w:sz w:val="16"/>
          <w:szCs w:val="16"/>
        </w:rPr>
        <w:t xml:space="preserve"> The analyzer will calculate the INR if requested. The International Sensitivity Index (ISI) is encoded on the 2D barcode along with the other calibration information and is passed to the analyzer when a test is initiated. </w:t>
      </w:r>
    </w:p>
    <w:p w14:paraId="60D04E26"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Authorities recommend that the INR should be reported only for those patients who have been stabilized on warfarin therapy.</w:t>
      </w:r>
      <w:r w:rsidRPr="002A54FA">
        <w:rPr>
          <w:rFonts w:eastAsiaTheme="minorHAnsi"/>
          <w:color w:val="000000"/>
          <w:spacing w:val="-1"/>
          <w:sz w:val="16"/>
          <w:szCs w:val="16"/>
          <w:vertAlign w:val="superscript"/>
        </w:rPr>
        <w:t>2</w:t>
      </w:r>
      <w:r w:rsidRPr="002A54FA">
        <w:rPr>
          <w:rFonts w:eastAsiaTheme="minorHAnsi"/>
          <w:color w:val="000000"/>
          <w:spacing w:val="-1"/>
          <w:sz w:val="16"/>
          <w:szCs w:val="16"/>
        </w:rPr>
        <w:t xml:space="preserve"> Therefore, it is left to the operator to make this decision.</w:t>
      </w:r>
    </w:p>
    <w:p w14:paraId="3252E744" w14:textId="77777777" w:rsidR="002A54FA" w:rsidRPr="002A54FA" w:rsidRDefault="002A54FA" w:rsidP="002A54FA">
      <w:pPr>
        <w:widowControl/>
        <w:tabs>
          <w:tab w:val="left" w:pos="160"/>
          <w:tab w:val="left" w:pos="320"/>
        </w:tabs>
        <w:suppressAutoHyphens/>
        <w:adjustRightInd w:val="0"/>
        <w:spacing w:before="20" w:after="20"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INR = [Patient PT Time/Mean Normal PT]</w:t>
      </w:r>
      <w:r w:rsidRPr="002A54FA">
        <w:rPr>
          <w:rFonts w:eastAsiaTheme="minorHAnsi"/>
          <w:color w:val="000000"/>
          <w:spacing w:val="-1"/>
          <w:sz w:val="16"/>
          <w:szCs w:val="16"/>
          <w:vertAlign w:val="superscript"/>
        </w:rPr>
        <w:t xml:space="preserve"> ISI</w:t>
      </w:r>
    </w:p>
    <w:p w14:paraId="317EDEEA"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Limitations</w:t>
      </w:r>
    </w:p>
    <w:p w14:paraId="6B3A8E39"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vertAlign w:val="superscript"/>
        </w:rPr>
      </w:pPr>
      <w:r w:rsidRPr="002A54FA">
        <w:rPr>
          <w:rFonts w:eastAsiaTheme="minorHAnsi"/>
          <w:color w:val="000000"/>
          <w:spacing w:val="-1"/>
          <w:sz w:val="16"/>
          <w:szCs w:val="16"/>
        </w:rPr>
        <w:lastRenderedPageBreak/>
        <w:t>This device was not evaluated in the pediatric population. Clinical studies were performed on patients 18 years of age or older. Many commonly administered drugs, diseases, and other factors can affect the results obtained in PT testing.</w:t>
      </w:r>
      <w:r w:rsidRPr="002A54FA">
        <w:rPr>
          <w:rFonts w:eastAsiaTheme="minorHAnsi"/>
          <w:color w:val="000000"/>
          <w:spacing w:val="-1"/>
          <w:sz w:val="16"/>
          <w:szCs w:val="16"/>
          <w:vertAlign w:val="superscript"/>
        </w:rPr>
        <w:t>2</w:t>
      </w:r>
      <w:r w:rsidRPr="002A54FA">
        <w:rPr>
          <w:rFonts w:eastAsiaTheme="minorHAnsi"/>
          <w:color w:val="000000"/>
          <w:spacing w:val="-1"/>
          <w:sz w:val="16"/>
          <w:szCs w:val="16"/>
        </w:rPr>
        <w:t xml:space="preserve"> If unexpected results are found, the test should be verified by repeat testing. If the results are confirmed, more in-depth testing may reveal a deficiency of one or more factors. Since normal values vary from laboratory to laboratory, depending on the technique used, each laboratory should establish its own reference interval. For INR reporting, the geometric mean of the normal reference interval should be used.</w:t>
      </w:r>
      <w:r w:rsidRPr="002A54FA">
        <w:rPr>
          <w:rFonts w:eastAsiaTheme="minorHAnsi"/>
          <w:color w:val="000000"/>
          <w:spacing w:val="-1"/>
          <w:sz w:val="16"/>
          <w:szCs w:val="16"/>
          <w:vertAlign w:val="superscript"/>
        </w:rPr>
        <w:t>9</w:t>
      </w:r>
      <w:r w:rsidRPr="002A54FA">
        <w:rPr>
          <w:rFonts w:eastAsiaTheme="minorHAnsi"/>
          <w:color w:val="000000"/>
          <w:spacing w:val="-1"/>
          <w:sz w:val="16"/>
          <w:szCs w:val="16"/>
        </w:rPr>
        <w:t xml:space="preserve"> Since desired ratios may vary depending upon clinical practice and test methodologies, the optimum therapeutic range for this method should be established by each user.</w:t>
      </w:r>
      <w:r w:rsidRPr="002A54FA">
        <w:rPr>
          <w:rFonts w:eastAsiaTheme="minorHAnsi"/>
          <w:color w:val="000000"/>
          <w:spacing w:val="-1"/>
          <w:sz w:val="16"/>
          <w:szCs w:val="16"/>
          <w:vertAlign w:val="superscript"/>
        </w:rPr>
        <w:t>2</w:t>
      </w:r>
    </w:p>
    <w:p w14:paraId="406F0B08"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Interferences</w:t>
      </w:r>
    </w:p>
    <w:p w14:paraId="7F070227"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Heparin levels greater than 0.4 U/mL may cause prolonged PT</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 xml:space="preserve">WB results. </w:t>
      </w:r>
    </w:p>
    <w:p w14:paraId="4AEA809D"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Hemolysis should not affect the results; however, it is often an indication of poor specimen quality. PT-WB results may be affected in patients receiving LMWH and Fondaparinux.</w:t>
      </w:r>
    </w:p>
    <w:p w14:paraId="2154D6FC"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The following table lists those factors that do not normally interfere with the PT-WB test:</w:t>
      </w:r>
    </w:p>
    <w:p w14:paraId="4EC8541E" w14:textId="77777777" w:rsidR="002A54FA" w:rsidRPr="002A54FA" w:rsidRDefault="002A54FA" w:rsidP="002A54FA">
      <w:pPr>
        <w:widowControl/>
        <w:tabs>
          <w:tab w:val="left" w:pos="160"/>
          <w:tab w:val="left" w:pos="1040"/>
        </w:tabs>
        <w:suppressAutoHyphens/>
        <w:adjustRightInd w:val="0"/>
        <w:spacing w:line="288" w:lineRule="auto"/>
        <w:jc w:val="both"/>
        <w:textAlignment w:val="center"/>
        <w:rPr>
          <w:rFonts w:eastAsiaTheme="minorHAnsi"/>
          <w:b/>
          <w:bCs/>
          <w:color w:val="000000"/>
          <w:spacing w:val="-1"/>
          <w:sz w:val="16"/>
          <w:szCs w:val="16"/>
        </w:rPr>
      </w:pPr>
      <w:r w:rsidRPr="002A54FA">
        <w:rPr>
          <w:rFonts w:eastAsiaTheme="minorHAnsi"/>
          <w:b/>
          <w:bCs/>
          <w:color w:val="000000"/>
          <w:spacing w:val="-1"/>
          <w:sz w:val="16"/>
          <w:szCs w:val="16"/>
        </w:rPr>
        <w:tab/>
        <w:t>Factors</w:t>
      </w:r>
      <w:r w:rsidRPr="002A54FA">
        <w:rPr>
          <w:rFonts w:eastAsiaTheme="minorHAnsi"/>
          <w:b/>
          <w:bCs/>
          <w:color w:val="000000"/>
          <w:spacing w:val="-1"/>
          <w:sz w:val="16"/>
          <w:szCs w:val="16"/>
        </w:rPr>
        <w:tab/>
        <w:t>Concentration</w:t>
      </w:r>
    </w:p>
    <w:p w14:paraId="764FE32E" w14:textId="77777777" w:rsidR="002A54FA" w:rsidRPr="002A54FA" w:rsidRDefault="002A54FA" w:rsidP="002A54FA">
      <w:pPr>
        <w:widowControl/>
        <w:tabs>
          <w:tab w:val="left" w:pos="160"/>
          <w:tab w:val="left" w:pos="104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Fibrinogen</w:t>
      </w:r>
      <w:r w:rsidRPr="002A54FA">
        <w:rPr>
          <w:rFonts w:eastAsiaTheme="minorHAnsi"/>
          <w:color w:val="000000"/>
          <w:spacing w:val="-1"/>
          <w:sz w:val="16"/>
          <w:szCs w:val="16"/>
        </w:rPr>
        <w:tab/>
        <w:t>65 - 1000 mg/dL</w:t>
      </w:r>
    </w:p>
    <w:p w14:paraId="71CB4535" w14:textId="77777777" w:rsidR="002A54FA" w:rsidRPr="002A54FA" w:rsidRDefault="002A54FA" w:rsidP="002A54FA">
      <w:pPr>
        <w:widowControl/>
        <w:tabs>
          <w:tab w:val="left" w:pos="160"/>
          <w:tab w:val="left" w:pos="104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Hematocrit</w:t>
      </w:r>
      <w:r w:rsidRPr="002A54FA">
        <w:rPr>
          <w:rFonts w:eastAsiaTheme="minorHAnsi"/>
          <w:color w:val="000000"/>
          <w:spacing w:val="-1"/>
          <w:sz w:val="16"/>
          <w:szCs w:val="16"/>
        </w:rPr>
        <w:tab/>
        <w:t>0 - 60%</w:t>
      </w:r>
    </w:p>
    <w:p w14:paraId="1E2AF8DE" w14:textId="77777777" w:rsidR="002A54FA" w:rsidRPr="002A54FA" w:rsidRDefault="002A54FA" w:rsidP="002A54FA">
      <w:pPr>
        <w:widowControl/>
        <w:tabs>
          <w:tab w:val="left" w:pos="160"/>
          <w:tab w:val="left" w:pos="104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Bilirubin</w:t>
      </w:r>
      <w:r w:rsidRPr="002A54FA">
        <w:rPr>
          <w:rFonts w:eastAsiaTheme="minorHAnsi"/>
          <w:color w:val="000000"/>
          <w:spacing w:val="-1"/>
          <w:sz w:val="16"/>
          <w:szCs w:val="16"/>
        </w:rPr>
        <w:tab/>
        <w:t>0 - 20 mg/mL</w:t>
      </w:r>
    </w:p>
    <w:p w14:paraId="719A24CD" w14:textId="77777777" w:rsidR="002A54FA" w:rsidRPr="002A54FA" w:rsidRDefault="002A54FA" w:rsidP="002A54FA">
      <w:pPr>
        <w:widowControl/>
        <w:tabs>
          <w:tab w:val="left" w:pos="160"/>
          <w:tab w:val="left" w:pos="104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Lipemia</w:t>
      </w:r>
      <w:r w:rsidRPr="002A54FA">
        <w:rPr>
          <w:rFonts w:eastAsiaTheme="minorHAnsi"/>
          <w:color w:val="000000"/>
          <w:spacing w:val="-1"/>
          <w:sz w:val="16"/>
          <w:szCs w:val="16"/>
        </w:rPr>
        <w:tab/>
        <w:t>0 - 18 g/L</w:t>
      </w:r>
    </w:p>
    <w:p w14:paraId="4182C99A"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Platelet inhibitors (clopidogrel and Aspirin) will not negatively impact the PT-WB test.</w:t>
      </w:r>
    </w:p>
    <w:p w14:paraId="517CFFF9" w14:textId="77777777" w:rsidR="002A54FA" w:rsidRPr="002A54FA" w:rsidRDefault="002A54FA" w:rsidP="002A54FA">
      <w:pPr>
        <w:widowControl/>
        <w:adjustRightInd w:val="0"/>
        <w:spacing w:before="60" w:line="288" w:lineRule="auto"/>
        <w:textAlignment w:val="center"/>
        <w:rPr>
          <w:rFonts w:eastAsiaTheme="minorHAnsi"/>
          <w:b/>
          <w:bCs/>
          <w:caps/>
          <w:color w:val="000000"/>
          <w:sz w:val="16"/>
          <w:szCs w:val="16"/>
        </w:rPr>
      </w:pPr>
      <w:r w:rsidRPr="002A54FA">
        <w:rPr>
          <w:rFonts w:eastAsiaTheme="minorHAnsi"/>
          <w:b/>
          <w:bCs/>
          <w:caps/>
          <w:color w:val="000000"/>
          <w:sz w:val="16"/>
          <w:szCs w:val="16"/>
        </w:rPr>
        <w:t>Performance Characteristics</w:t>
      </w:r>
    </w:p>
    <w:p w14:paraId="4374C3EE" w14:textId="77777777" w:rsidR="002A54FA" w:rsidRPr="002A54FA" w:rsidRDefault="002A54FA" w:rsidP="002A54FA">
      <w:pPr>
        <w:widowControl/>
        <w:tabs>
          <w:tab w:val="left" w:pos="20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b/>
          <w:bCs/>
          <w:caps/>
          <w:color w:val="000000"/>
          <w:spacing w:val="-1"/>
          <w:sz w:val="16"/>
          <w:szCs w:val="16"/>
        </w:rPr>
        <w:t>Precision:</w:t>
      </w:r>
      <w:r w:rsidRPr="002A54FA">
        <w:rPr>
          <w:rFonts w:eastAsiaTheme="minorHAnsi"/>
          <w:color w:val="000000"/>
          <w:spacing w:val="-1"/>
          <w:sz w:val="16"/>
          <w:szCs w:val="16"/>
        </w:rPr>
        <w:t xml:space="preserve"> The precision studies were performed using three lots of Cascade Abrazo PT-WB cards and one lot each of Cascade Abrazo PT-WB controls Level 1 and Level 2. The studies were performed by three non-laboratorian operators (POC) at a single site across 6 Cascade Abrazo analyzers over a period of 20 days. Each operator performed 2 runs per day, 2 tests per run on each lot of Abrazo PT-WB test cards.</w:t>
      </w:r>
    </w:p>
    <w:p w14:paraId="718D5E72" w14:textId="77777777" w:rsidR="002A54FA" w:rsidRPr="002A54FA" w:rsidRDefault="002A54FA" w:rsidP="002A54FA">
      <w:pPr>
        <w:widowControl/>
        <w:tabs>
          <w:tab w:val="left" w:pos="200"/>
        </w:tabs>
        <w:suppressAutoHyphens/>
        <w:adjustRightInd w:val="0"/>
        <w:spacing w:before="60" w:line="288" w:lineRule="auto"/>
        <w:jc w:val="both"/>
        <w:textAlignment w:val="center"/>
        <w:rPr>
          <w:rFonts w:eastAsiaTheme="minorHAnsi"/>
          <w:b/>
          <w:bCs/>
          <w:color w:val="000000"/>
          <w:spacing w:val="-1"/>
          <w:sz w:val="16"/>
          <w:szCs w:val="16"/>
        </w:rPr>
      </w:pPr>
      <w:r w:rsidRPr="002A54FA">
        <w:rPr>
          <w:rFonts w:eastAsiaTheme="minorHAnsi"/>
          <w:b/>
          <w:bCs/>
          <w:color w:val="000000"/>
          <w:spacing w:val="-1"/>
          <w:sz w:val="16"/>
          <w:szCs w:val="16"/>
        </w:rPr>
        <w:t>Within-run, between run, and between day Precision*</w:t>
      </w:r>
    </w:p>
    <w:p w14:paraId="576D2536" w14:textId="77777777" w:rsidR="002A54FA" w:rsidRPr="002A54FA" w:rsidRDefault="002A54FA" w:rsidP="002A54FA">
      <w:pPr>
        <w:widowControl/>
        <w:tabs>
          <w:tab w:val="left" w:pos="200"/>
        </w:tabs>
        <w:suppressAutoHyphens/>
        <w:adjustRightInd w:val="0"/>
        <w:spacing w:line="288" w:lineRule="auto"/>
        <w:jc w:val="both"/>
        <w:textAlignment w:val="center"/>
        <w:rPr>
          <w:rFonts w:eastAsiaTheme="minorHAnsi"/>
          <w:b/>
          <w:bCs/>
          <w:color w:val="000000"/>
          <w:spacing w:val="-1"/>
          <w:sz w:val="16"/>
          <w:szCs w:val="16"/>
        </w:rPr>
      </w:pPr>
      <w:r w:rsidRPr="002A54FA">
        <w:rPr>
          <w:rFonts w:eastAsiaTheme="minorHAnsi"/>
          <w:b/>
          <w:bCs/>
          <w:color w:val="000000"/>
          <w:spacing w:val="-1"/>
          <w:sz w:val="16"/>
          <w:szCs w:val="16"/>
        </w:rPr>
        <w:t>N= 240</w:t>
      </w:r>
    </w:p>
    <w:p w14:paraId="113974BE" w14:textId="4818423E" w:rsidR="002A54FA" w:rsidRPr="002A54FA" w:rsidRDefault="002A54FA" w:rsidP="002A54FA">
      <w:pPr>
        <w:widowControl/>
        <w:tabs>
          <w:tab w:val="left" w:pos="200"/>
        </w:tabs>
        <w:suppressAutoHyphens/>
        <w:adjustRightInd w:val="0"/>
        <w:spacing w:before="20" w:line="288" w:lineRule="auto"/>
        <w:textAlignment w:val="center"/>
        <w:rPr>
          <w:rFonts w:eastAsiaTheme="minorHAnsi"/>
          <w:b/>
          <w:bCs/>
          <w:color w:val="000000"/>
          <w:spacing w:val="-2"/>
          <w:sz w:val="16"/>
          <w:szCs w:val="16"/>
        </w:rPr>
      </w:pPr>
      <w:r w:rsidRPr="002A54FA">
        <w:rPr>
          <w:rFonts w:eastAsiaTheme="minorHAnsi"/>
          <w:b/>
          <w:bCs/>
          <w:color w:val="000000"/>
          <w:spacing w:val="-2"/>
          <w:sz w:val="16"/>
          <w:szCs w:val="16"/>
        </w:rPr>
        <w:drawing>
          <wp:inline distT="0" distB="0" distL="0" distR="0" wp14:anchorId="65B21239" wp14:editId="63B5DC7B">
            <wp:extent cx="3952911" cy="601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1884" cy="605540"/>
                    </a:xfrm>
                    <a:prstGeom prst="rect">
                      <a:avLst/>
                    </a:prstGeom>
                  </pic:spPr>
                </pic:pic>
              </a:graphicData>
            </a:graphic>
          </wp:inline>
        </w:drawing>
      </w:r>
    </w:p>
    <w:p w14:paraId="6440549E" w14:textId="77777777" w:rsidR="002A54FA" w:rsidRPr="002A54FA" w:rsidRDefault="002A54FA" w:rsidP="002A54FA">
      <w:pPr>
        <w:widowControl/>
        <w:tabs>
          <w:tab w:val="left" w:pos="200"/>
        </w:tabs>
        <w:suppressAutoHyphens/>
        <w:adjustRightInd w:val="0"/>
        <w:spacing w:before="40" w:line="288" w:lineRule="auto"/>
        <w:jc w:val="both"/>
        <w:textAlignment w:val="center"/>
        <w:rPr>
          <w:rFonts w:eastAsiaTheme="minorHAnsi"/>
          <w:b/>
          <w:bCs/>
          <w:color w:val="000000"/>
          <w:spacing w:val="-2"/>
          <w:sz w:val="16"/>
          <w:szCs w:val="16"/>
        </w:rPr>
      </w:pPr>
      <w:r w:rsidRPr="002A54FA">
        <w:rPr>
          <w:rFonts w:eastAsiaTheme="minorHAnsi"/>
          <w:b/>
          <w:bCs/>
          <w:color w:val="000000"/>
          <w:spacing w:val="-2"/>
          <w:sz w:val="16"/>
          <w:szCs w:val="16"/>
        </w:rPr>
        <w:t>Lot to Lot Precision*</w:t>
      </w:r>
    </w:p>
    <w:p w14:paraId="12FB2910" w14:textId="6559A0E0" w:rsidR="002A54FA" w:rsidRDefault="002A54FA" w:rsidP="002A54FA">
      <w:pPr>
        <w:widowControl/>
        <w:tabs>
          <w:tab w:val="left" w:pos="200"/>
        </w:tabs>
        <w:suppressAutoHyphens/>
        <w:adjustRightInd w:val="0"/>
        <w:spacing w:line="288" w:lineRule="auto"/>
        <w:jc w:val="both"/>
        <w:textAlignment w:val="center"/>
        <w:rPr>
          <w:rFonts w:eastAsiaTheme="minorHAnsi"/>
          <w:b/>
          <w:bCs/>
          <w:color w:val="000000"/>
          <w:spacing w:val="-2"/>
          <w:sz w:val="16"/>
          <w:szCs w:val="16"/>
        </w:rPr>
      </w:pPr>
      <w:r w:rsidRPr="002A54FA">
        <w:rPr>
          <w:rFonts w:eastAsiaTheme="minorHAnsi"/>
          <w:b/>
          <w:bCs/>
          <w:color w:val="000000"/>
          <w:spacing w:val="-2"/>
          <w:sz w:val="16"/>
          <w:szCs w:val="16"/>
        </w:rPr>
        <w:t>N= 80</w:t>
      </w:r>
    </w:p>
    <w:p w14:paraId="3A7D9255" w14:textId="2983BD9D" w:rsidR="002A54FA" w:rsidRPr="002A54FA" w:rsidRDefault="002A54FA" w:rsidP="002A54FA">
      <w:pPr>
        <w:widowControl/>
        <w:tabs>
          <w:tab w:val="left" w:pos="200"/>
        </w:tabs>
        <w:suppressAutoHyphens/>
        <w:adjustRightInd w:val="0"/>
        <w:spacing w:line="288" w:lineRule="auto"/>
        <w:jc w:val="both"/>
        <w:textAlignment w:val="center"/>
        <w:rPr>
          <w:rFonts w:eastAsiaTheme="minorHAnsi"/>
          <w:b/>
          <w:bCs/>
          <w:color w:val="000000"/>
          <w:spacing w:val="-2"/>
          <w:sz w:val="16"/>
          <w:szCs w:val="16"/>
        </w:rPr>
      </w:pPr>
      <w:r w:rsidRPr="002A54FA">
        <w:rPr>
          <w:rFonts w:eastAsiaTheme="minorHAnsi"/>
          <w:b/>
          <w:bCs/>
          <w:color w:val="000000"/>
          <w:spacing w:val="-2"/>
          <w:sz w:val="16"/>
          <w:szCs w:val="16"/>
        </w:rPr>
        <w:drawing>
          <wp:inline distT="0" distB="0" distL="0" distR="0" wp14:anchorId="3E0E00CF" wp14:editId="250E2394">
            <wp:extent cx="3952875" cy="619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5922" cy="641757"/>
                    </a:xfrm>
                    <a:prstGeom prst="rect">
                      <a:avLst/>
                    </a:prstGeom>
                  </pic:spPr>
                </pic:pic>
              </a:graphicData>
            </a:graphic>
          </wp:inline>
        </w:drawing>
      </w:r>
    </w:p>
    <w:p w14:paraId="4863015C" w14:textId="77777777" w:rsidR="002A54FA" w:rsidRPr="002A54FA" w:rsidRDefault="002A54FA" w:rsidP="002A54FA">
      <w:pPr>
        <w:widowControl/>
        <w:tabs>
          <w:tab w:val="center" w:pos="2020"/>
          <w:tab w:val="center" w:pos="3400"/>
        </w:tabs>
        <w:suppressAutoHyphens/>
        <w:adjustRightInd w:val="0"/>
        <w:spacing w:before="80" w:line="288" w:lineRule="auto"/>
        <w:jc w:val="both"/>
        <w:textAlignment w:val="center"/>
        <w:rPr>
          <w:rFonts w:eastAsiaTheme="minorHAnsi"/>
          <w:b/>
          <w:bCs/>
          <w:color w:val="000000"/>
          <w:spacing w:val="-2"/>
          <w:sz w:val="16"/>
          <w:szCs w:val="16"/>
        </w:rPr>
      </w:pPr>
      <w:r w:rsidRPr="002A54FA">
        <w:rPr>
          <w:rFonts w:eastAsiaTheme="minorHAnsi"/>
          <w:b/>
          <w:bCs/>
          <w:color w:val="000000"/>
          <w:spacing w:val="-2"/>
          <w:sz w:val="16"/>
          <w:szCs w:val="16"/>
        </w:rPr>
        <w:t>Operator to Operator Precision*</w:t>
      </w:r>
    </w:p>
    <w:p w14:paraId="19380941" w14:textId="52D8356C" w:rsidR="002A54FA" w:rsidRDefault="002A54FA" w:rsidP="002A54FA">
      <w:pPr>
        <w:widowControl/>
        <w:tabs>
          <w:tab w:val="left" w:pos="200"/>
        </w:tabs>
        <w:suppressAutoHyphens/>
        <w:adjustRightInd w:val="0"/>
        <w:spacing w:line="288" w:lineRule="auto"/>
        <w:jc w:val="both"/>
        <w:textAlignment w:val="center"/>
        <w:rPr>
          <w:rFonts w:eastAsiaTheme="minorHAnsi"/>
          <w:b/>
          <w:bCs/>
          <w:color w:val="000000"/>
          <w:spacing w:val="-2"/>
          <w:sz w:val="16"/>
          <w:szCs w:val="16"/>
        </w:rPr>
      </w:pPr>
      <w:r w:rsidRPr="002A54FA">
        <w:rPr>
          <w:rFonts w:eastAsiaTheme="minorHAnsi"/>
          <w:b/>
          <w:bCs/>
          <w:color w:val="000000"/>
          <w:spacing w:val="-2"/>
          <w:sz w:val="16"/>
          <w:szCs w:val="16"/>
        </w:rPr>
        <w:t>N= 80</w:t>
      </w:r>
    </w:p>
    <w:p w14:paraId="4B8648CD" w14:textId="71D555EC" w:rsidR="002A54FA" w:rsidRPr="002A54FA" w:rsidRDefault="002A54FA" w:rsidP="002A54FA">
      <w:pPr>
        <w:widowControl/>
        <w:tabs>
          <w:tab w:val="left" w:pos="200"/>
        </w:tabs>
        <w:suppressAutoHyphens/>
        <w:adjustRightInd w:val="0"/>
        <w:spacing w:line="288" w:lineRule="auto"/>
        <w:jc w:val="both"/>
        <w:textAlignment w:val="center"/>
        <w:rPr>
          <w:rFonts w:eastAsiaTheme="minorHAnsi"/>
          <w:b/>
          <w:bCs/>
          <w:color w:val="000000"/>
          <w:spacing w:val="-2"/>
          <w:sz w:val="16"/>
          <w:szCs w:val="16"/>
        </w:rPr>
      </w:pPr>
      <w:r w:rsidRPr="002A54FA">
        <w:rPr>
          <w:rFonts w:eastAsiaTheme="minorHAnsi"/>
          <w:b/>
          <w:bCs/>
          <w:color w:val="000000"/>
          <w:spacing w:val="-2"/>
          <w:sz w:val="16"/>
          <w:szCs w:val="16"/>
        </w:rPr>
        <w:drawing>
          <wp:inline distT="0" distB="0" distL="0" distR="0" wp14:anchorId="204E2A1C" wp14:editId="42A23F0D">
            <wp:extent cx="3890682"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9196" cy="620335"/>
                    </a:xfrm>
                    <a:prstGeom prst="rect">
                      <a:avLst/>
                    </a:prstGeom>
                  </pic:spPr>
                </pic:pic>
              </a:graphicData>
            </a:graphic>
          </wp:inline>
        </w:drawing>
      </w:r>
    </w:p>
    <w:p w14:paraId="15C7CC7F" w14:textId="77777777" w:rsidR="002A54FA" w:rsidRPr="002A54FA" w:rsidRDefault="002A54FA" w:rsidP="002A54FA">
      <w:pPr>
        <w:widowControl/>
        <w:tabs>
          <w:tab w:val="left" w:pos="200"/>
        </w:tabs>
        <w:suppressAutoHyphens/>
        <w:adjustRightInd w:val="0"/>
        <w:spacing w:before="60" w:line="288" w:lineRule="auto"/>
        <w:jc w:val="both"/>
        <w:textAlignment w:val="center"/>
        <w:rPr>
          <w:rFonts w:ascii="Arial Narrow MT Std" w:eastAsiaTheme="minorHAnsi" w:hAnsi="Arial Narrow MT Std" w:cs="Arial Narrow MT Std"/>
          <w:color w:val="000000"/>
          <w:spacing w:val="-1"/>
          <w:sz w:val="16"/>
          <w:szCs w:val="16"/>
          <w:vertAlign w:val="superscript"/>
        </w:rPr>
      </w:pPr>
      <w:r w:rsidRPr="002A54FA">
        <w:rPr>
          <w:rFonts w:ascii="Arial Narrow MT Std" w:eastAsiaTheme="minorHAnsi" w:hAnsi="Arial Narrow MT Std" w:cs="Arial Narrow MT Std"/>
          <w:color w:val="000000"/>
          <w:spacing w:val="-1"/>
          <w:sz w:val="16"/>
          <w:szCs w:val="16"/>
        </w:rPr>
        <w:t>*Precision studies were performed according to EP5-A2.</w:t>
      </w:r>
      <w:r w:rsidRPr="002A54FA">
        <w:rPr>
          <w:rFonts w:ascii="Arial Narrow MT Std" w:eastAsiaTheme="minorHAnsi" w:hAnsi="Arial Narrow MT Std" w:cs="Arial Narrow MT Std"/>
          <w:color w:val="000000"/>
          <w:spacing w:val="-1"/>
          <w:sz w:val="16"/>
          <w:szCs w:val="16"/>
          <w:vertAlign w:val="superscript"/>
        </w:rPr>
        <w:t>12</w:t>
      </w:r>
    </w:p>
    <w:p w14:paraId="2CFCDB5C" w14:textId="77777777" w:rsidR="002A54FA" w:rsidRPr="002A54FA" w:rsidRDefault="002A54FA" w:rsidP="002A54FA">
      <w:pPr>
        <w:widowControl/>
        <w:tabs>
          <w:tab w:val="left" w:pos="160"/>
          <w:tab w:val="left" w:pos="320"/>
        </w:tabs>
        <w:suppressAutoHyphens/>
        <w:adjustRightInd w:val="0"/>
        <w:spacing w:before="80" w:line="288" w:lineRule="auto"/>
        <w:jc w:val="both"/>
        <w:textAlignment w:val="center"/>
        <w:rPr>
          <w:rFonts w:eastAsiaTheme="minorHAnsi"/>
          <w:color w:val="000000"/>
          <w:spacing w:val="-1"/>
          <w:sz w:val="16"/>
          <w:szCs w:val="16"/>
        </w:rPr>
      </w:pPr>
      <w:r w:rsidRPr="002A54FA">
        <w:rPr>
          <w:rFonts w:eastAsiaTheme="minorHAnsi"/>
          <w:b/>
          <w:bCs/>
          <w:caps/>
          <w:color w:val="000000"/>
          <w:spacing w:val="-1"/>
          <w:sz w:val="16"/>
          <w:szCs w:val="16"/>
        </w:rPr>
        <w:t>specificity:</w:t>
      </w:r>
      <w:r w:rsidRPr="002A54FA">
        <w:rPr>
          <w:rFonts w:eastAsiaTheme="minorHAnsi"/>
          <w:color w:val="000000"/>
          <w:spacing w:val="-1"/>
          <w:sz w:val="16"/>
          <w:szCs w:val="16"/>
        </w:rPr>
        <w:t xml:space="preserve"> Studies show that the Helena Cascade Abrazo PT-WB test card is sensitive to deficiencies of Factors II, V, VII and X.</w:t>
      </w:r>
    </w:p>
    <w:p w14:paraId="7B782D3D"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b/>
          <w:bCs/>
          <w:caps/>
          <w:color w:val="000000"/>
          <w:spacing w:val="-1"/>
          <w:sz w:val="16"/>
          <w:szCs w:val="16"/>
        </w:rPr>
        <w:t>Comparison:</w:t>
      </w:r>
      <w:r w:rsidRPr="002A54FA">
        <w:rPr>
          <w:rFonts w:eastAsiaTheme="minorHAnsi"/>
          <w:color w:val="000000"/>
          <w:spacing w:val="-1"/>
          <w:sz w:val="16"/>
          <w:szCs w:val="16"/>
        </w:rPr>
        <w:t xml:space="preserve"> Clinical studies with 293 fresh whole blood samples from normal donors and patients receiving warfarin therapy were done comparing Abrazo PT-WB cards against a commercially available whole blood PT test. Comparisons of samples gave correlation coefficients of 0.94 for clotting time in seconds and 0.96 for INR values.</w:t>
      </w:r>
    </w:p>
    <w:p w14:paraId="4C6C6EAD"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Clinical conditions requiring warfarin therapy included atrial fibrillation (66%), pulmonary embolism (12%), deep vein thrombosis (10%), mechanical heart valve (5%), and others (7%</w:t>
      </w:r>
      <w:proofErr w:type="gramStart"/>
      <w:r w:rsidRPr="002A54FA">
        <w:rPr>
          <w:rFonts w:eastAsiaTheme="minorHAnsi"/>
          <w:color w:val="000000"/>
          <w:spacing w:val="-1"/>
          <w:sz w:val="16"/>
          <w:szCs w:val="16"/>
        </w:rPr>
        <w:t>).*</w:t>
      </w:r>
      <w:proofErr w:type="gramEnd"/>
    </w:p>
    <w:p w14:paraId="76DEC3E0"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*Percent relative to 147 abnormal patients collected at clinical sites.</w:t>
      </w:r>
    </w:p>
    <w:p w14:paraId="5B0D7131" w14:textId="77777777" w:rsidR="002A54FA" w:rsidRPr="002A54FA" w:rsidRDefault="002A54FA" w:rsidP="002A54FA">
      <w:pPr>
        <w:widowControl/>
        <w:tabs>
          <w:tab w:val="left" w:pos="160"/>
          <w:tab w:val="left" w:pos="32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PT-WB whole blood fingerstick samples collected at Point-of-care were compared to plasma samples using standard laboratory method in 40 normal donors and 127 patients receiving warfarin therapy. The comparison of sample INR values gave a correlation coefficient of 0.93.</w:t>
      </w:r>
    </w:p>
    <w:p w14:paraId="2DBC58B7"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References</w:t>
      </w:r>
    </w:p>
    <w:p w14:paraId="2DA43E3F" w14:textId="05353497"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1.</w:t>
      </w:r>
      <w:r w:rsidRPr="002A54FA">
        <w:rPr>
          <w:rFonts w:eastAsiaTheme="minorHAnsi"/>
          <w:color w:val="000000"/>
          <w:spacing w:val="-1"/>
          <w:sz w:val="16"/>
          <w:szCs w:val="16"/>
        </w:rPr>
        <w:tab/>
        <w:t xml:space="preserve">Quick A J, Stanly-Brown M, and Bancroft F W: A study of the coagulation defect in hemophilia and in jaundice. Am. J. Med. Sci 190: 501-511, 1935. </w:t>
      </w:r>
    </w:p>
    <w:p w14:paraId="10F4C198" w14:textId="652F4751"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2.</w:t>
      </w:r>
      <w:r w:rsidRPr="002A54FA">
        <w:rPr>
          <w:rFonts w:eastAsiaTheme="minorHAnsi"/>
          <w:color w:val="000000"/>
          <w:spacing w:val="-1"/>
          <w:sz w:val="16"/>
          <w:szCs w:val="16"/>
        </w:rPr>
        <w:tab/>
        <w:t xml:space="preserve">Hirsh J, Dalen J E, </w:t>
      </w:r>
      <w:proofErr w:type="spellStart"/>
      <w:r w:rsidRPr="002A54FA">
        <w:rPr>
          <w:rFonts w:eastAsiaTheme="minorHAnsi"/>
          <w:color w:val="000000"/>
          <w:spacing w:val="-1"/>
          <w:sz w:val="16"/>
          <w:szCs w:val="16"/>
        </w:rPr>
        <w:t>Deykin</w:t>
      </w:r>
      <w:proofErr w:type="spellEnd"/>
      <w:r w:rsidRPr="002A54FA">
        <w:rPr>
          <w:rFonts w:eastAsiaTheme="minorHAnsi"/>
          <w:color w:val="000000"/>
          <w:spacing w:val="-1"/>
          <w:sz w:val="16"/>
          <w:szCs w:val="16"/>
        </w:rPr>
        <w:t xml:space="preserve"> D, </w:t>
      </w:r>
      <w:proofErr w:type="spellStart"/>
      <w:r w:rsidRPr="002A54FA">
        <w:rPr>
          <w:rFonts w:eastAsiaTheme="minorHAnsi"/>
          <w:color w:val="000000"/>
          <w:spacing w:val="-1"/>
          <w:sz w:val="16"/>
          <w:szCs w:val="16"/>
        </w:rPr>
        <w:t>Poller</w:t>
      </w:r>
      <w:proofErr w:type="spellEnd"/>
      <w:r w:rsidRPr="002A54FA">
        <w:rPr>
          <w:rFonts w:eastAsiaTheme="minorHAnsi"/>
          <w:color w:val="000000"/>
          <w:spacing w:val="-1"/>
          <w:sz w:val="16"/>
          <w:szCs w:val="16"/>
        </w:rPr>
        <w:t xml:space="preserve"> L, Bussey H I: Oral anticoagulants: mechanism of action, clinical effectiveness, and optimal therapeutic range. Chest 108: S231-S246, 1995.</w:t>
      </w:r>
    </w:p>
    <w:p w14:paraId="18B39B5E" w14:textId="61CFCCAF"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3.</w:t>
      </w:r>
      <w:r w:rsidRPr="002A54FA">
        <w:rPr>
          <w:rFonts w:eastAsiaTheme="minorHAnsi"/>
          <w:color w:val="000000"/>
          <w:spacing w:val="-1"/>
          <w:sz w:val="16"/>
          <w:szCs w:val="16"/>
        </w:rPr>
        <w:tab/>
        <w:t>Clinical and Laboratory Standards Institute. Procedures for the Collection of Diagnostic Blood Specimens by Venipuncture; Approved Guideline, CLSI Document H03</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A6, Vol. 27, No. 26, 2007.</w:t>
      </w:r>
    </w:p>
    <w:p w14:paraId="3D5C3300" w14:textId="7BEC42BE"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4.</w:t>
      </w:r>
      <w:r w:rsidRPr="002A54FA">
        <w:rPr>
          <w:rFonts w:eastAsiaTheme="minorHAnsi"/>
          <w:color w:val="000000"/>
          <w:spacing w:val="-1"/>
          <w:sz w:val="16"/>
          <w:szCs w:val="16"/>
        </w:rPr>
        <w:tab/>
        <w:t>Clinical and Laboratory and Standards Institute: Procedures and Devices for the Collection of Diagnostic Capillary Blood Specimens; Approved Guideline, CLSI Document H04</w:t>
      </w:r>
      <w:r w:rsidRPr="002A54FA">
        <w:rPr>
          <w:rFonts w:ascii="Cambria Math" w:eastAsiaTheme="minorHAnsi" w:hAnsi="Cambria Math" w:cs="Cambria Math"/>
          <w:color w:val="000000"/>
          <w:spacing w:val="-1"/>
          <w:sz w:val="16"/>
          <w:szCs w:val="16"/>
        </w:rPr>
        <w:t>‑</w:t>
      </w:r>
      <w:r w:rsidRPr="002A54FA">
        <w:rPr>
          <w:rFonts w:eastAsiaTheme="minorHAnsi"/>
          <w:color w:val="000000"/>
          <w:spacing w:val="-1"/>
          <w:sz w:val="16"/>
          <w:szCs w:val="16"/>
        </w:rPr>
        <w:t>A6, Vol. 28, No. 25, 2008.</w:t>
      </w:r>
    </w:p>
    <w:p w14:paraId="151D5647" w14:textId="31C965D1"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5.</w:t>
      </w:r>
      <w:r w:rsidRPr="002A54FA">
        <w:rPr>
          <w:rFonts w:eastAsiaTheme="minorHAnsi"/>
          <w:color w:val="000000"/>
          <w:spacing w:val="-1"/>
          <w:sz w:val="16"/>
          <w:szCs w:val="16"/>
        </w:rPr>
        <w:tab/>
        <w:t>Centers for Disease Control. Update: Universal precautions for prevention of transmission of human immunodeficiency virus, hepatitis B virus and other bloodborne pathogens in healthcare settings. MMWR, 1988; 37: 377–82, 387–8.</w:t>
      </w:r>
    </w:p>
    <w:p w14:paraId="21839C04" w14:textId="1653C0E5"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6.</w:t>
      </w:r>
      <w:r w:rsidRPr="002A54FA">
        <w:rPr>
          <w:rFonts w:eastAsiaTheme="minorHAnsi"/>
          <w:color w:val="000000"/>
          <w:spacing w:val="-1"/>
          <w:sz w:val="16"/>
          <w:szCs w:val="16"/>
        </w:rPr>
        <w:tab/>
        <w:t xml:space="preserve">Clinical and Laboratory Standards Institute. Protection of Laboratory Workers </w:t>
      </w:r>
      <w:proofErr w:type="gramStart"/>
      <w:r w:rsidRPr="002A54FA">
        <w:rPr>
          <w:rFonts w:eastAsiaTheme="minorHAnsi"/>
          <w:color w:val="000000"/>
          <w:spacing w:val="-1"/>
          <w:sz w:val="16"/>
          <w:szCs w:val="16"/>
        </w:rPr>
        <w:t>From</w:t>
      </w:r>
      <w:proofErr w:type="gramEnd"/>
      <w:r w:rsidRPr="002A54FA">
        <w:rPr>
          <w:rFonts w:eastAsiaTheme="minorHAnsi"/>
          <w:color w:val="000000"/>
          <w:spacing w:val="-1"/>
          <w:sz w:val="16"/>
          <w:szCs w:val="16"/>
        </w:rPr>
        <w:t xml:space="preserve"> Occupationally Acquired Infections; Approved Guideline. CLSI Document M29-A3: 2005.</w:t>
      </w:r>
    </w:p>
    <w:p w14:paraId="5104FE19" w14:textId="261BCCFC"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7.</w:t>
      </w:r>
      <w:r w:rsidRPr="002A54FA">
        <w:rPr>
          <w:rFonts w:eastAsiaTheme="minorHAnsi"/>
          <w:color w:val="000000"/>
          <w:spacing w:val="-1"/>
          <w:sz w:val="16"/>
          <w:szCs w:val="16"/>
        </w:rPr>
        <w:tab/>
        <w:t>Federal Occupational Safety and Health Administration. Bloodborne Pathogens Standard. 29 CFR 1910.1030.</w:t>
      </w:r>
    </w:p>
    <w:p w14:paraId="4794EB36" w14:textId="1393B771"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8.</w:t>
      </w:r>
      <w:r w:rsidRPr="002A54FA">
        <w:rPr>
          <w:rFonts w:eastAsiaTheme="minorHAnsi"/>
          <w:color w:val="000000"/>
          <w:spacing w:val="-1"/>
          <w:sz w:val="16"/>
          <w:szCs w:val="16"/>
        </w:rPr>
        <w:tab/>
        <w:t>Biosafety in Microbiological and Biomedical Laboratories, U.S. Department of Health and Human Services, Washington [HHS Publication No. (CDC) 93-8395] 1993.</w:t>
      </w:r>
    </w:p>
    <w:p w14:paraId="37104033" w14:textId="24F12000"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lastRenderedPageBreak/>
        <w:tab/>
        <w:t>9.</w:t>
      </w:r>
      <w:r w:rsidRPr="002A54FA">
        <w:rPr>
          <w:rFonts w:eastAsiaTheme="minorHAnsi"/>
          <w:color w:val="000000"/>
          <w:spacing w:val="-1"/>
          <w:sz w:val="16"/>
          <w:szCs w:val="16"/>
        </w:rPr>
        <w:tab/>
        <w:t>Clinical and Laboratory Standards Institute. Defining, Establishing, and Verifying Reference Intervals in the Clinical Laboratory; Approved Guideline. CLSI Document C28-A3c, Vol. 28, No. 30. 2008.</w:t>
      </w:r>
    </w:p>
    <w:p w14:paraId="057BA63E" w14:textId="51657172"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10.</w:t>
      </w:r>
      <w:r w:rsidRPr="002A54FA">
        <w:rPr>
          <w:rFonts w:eastAsiaTheme="minorHAnsi"/>
          <w:color w:val="000000"/>
          <w:spacing w:val="-1"/>
          <w:sz w:val="16"/>
          <w:szCs w:val="16"/>
        </w:rPr>
        <w:tab/>
        <w:t>FDA Public Health Notification: Use of Fingerstick Devices on More Than One Person Poses Risk for Transmitting Bloodborne Pathogens: Initial Communication (2010) http://www.fda.gov/medicaldevices/safety/alertsandnotices/ucm224025.htm.</w:t>
      </w:r>
    </w:p>
    <w:p w14:paraId="73A55776" w14:textId="3BBE0D43"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vertAlign w:val="superscript"/>
        </w:rPr>
      </w:pPr>
      <w:r w:rsidRPr="002A54FA">
        <w:rPr>
          <w:rFonts w:eastAsiaTheme="minorHAnsi"/>
          <w:color w:val="000000"/>
          <w:spacing w:val="-1"/>
          <w:sz w:val="16"/>
          <w:szCs w:val="16"/>
        </w:rPr>
        <w:tab/>
        <w:t>11.</w:t>
      </w:r>
      <w:r w:rsidRPr="002A54FA">
        <w:rPr>
          <w:rFonts w:eastAsiaTheme="minorHAnsi"/>
          <w:color w:val="000000"/>
          <w:spacing w:val="-1"/>
          <w:sz w:val="16"/>
          <w:szCs w:val="16"/>
        </w:rPr>
        <w:tab/>
        <w:t>CDC Clinical Reminder: Use of Fingerstick Devices on More than One Person Poses Risk for Transmitting Bloodborne Pathogens (2010) http://www.cdc.gov/injectionsafety/Fingerstick-DevicesBGM.html.</w:t>
      </w:r>
    </w:p>
    <w:p w14:paraId="291939E3" w14:textId="050F9DEF" w:rsidR="002A54FA" w:rsidRPr="002A54FA" w:rsidRDefault="002A54FA" w:rsidP="002A54FA">
      <w:pPr>
        <w:widowControl/>
        <w:tabs>
          <w:tab w:val="right" w:pos="240"/>
          <w:tab w:val="left" w:pos="28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ab/>
        <w:t>12.</w:t>
      </w:r>
      <w:r w:rsidRPr="002A54FA">
        <w:rPr>
          <w:rFonts w:eastAsiaTheme="minorHAnsi"/>
          <w:color w:val="000000"/>
          <w:spacing w:val="-1"/>
          <w:sz w:val="16"/>
          <w:szCs w:val="16"/>
        </w:rPr>
        <w:tab/>
        <w:t>Clinical and Laboratory and Standards Institute: Evaluation of Precision Performance of Quantitative Measurement Methods: Approved Guideline. CLSI Document EP05-A2, 2004.</w:t>
      </w:r>
    </w:p>
    <w:p w14:paraId="47CE8238" w14:textId="77777777" w:rsidR="002A54FA" w:rsidRPr="002A54FA" w:rsidRDefault="002A54FA" w:rsidP="002A54FA">
      <w:pPr>
        <w:widowControl/>
        <w:adjustRightInd w:val="0"/>
        <w:spacing w:before="20" w:line="288" w:lineRule="auto"/>
        <w:textAlignment w:val="center"/>
        <w:rPr>
          <w:rFonts w:eastAsiaTheme="minorHAnsi"/>
          <w:b/>
          <w:bCs/>
          <w:caps/>
          <w:color w:val="000000"/>
          <w:sz w:val="16"/>
          <w:szCs w:val="16"/>
        </w:rPr>
      </w:pPr>
      <w:r w:rsidRPr="002A54FA">
        <w:rPr>
          <w:rFonts w:eastAsiaTheme="minorHAnsi"/>
          <w:b/>
          <w:bCs/>
          <w:caps/>
          <w:color w:val="000000"/>
          <w:sz w:val="16"/>
          <w:szCs w:val="16"/>
        </w:rPr>
        <w:t>Additional References</w:t>
      </w:r>
    </w:p>
    <w:p w14:paraId="5866867E" w14:textId="432A7E17" w:rsidR="002A54FA" w:rsidRPr="002A54FA" w:rsidRDefault="002A54FA" w:rsidP="002A54FA">
      <w:pPr>
        <w:widowControl/>
        <w:tabs>
          <w:tab w:val="left" w:pos="160"/>
          <w:tab w:val="left" w:pos="320"/>
          <w:tab w:val="left" w:pos="46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1.</w:t>
      </w:r>
      <w:r w:rsidRPr="002A54FA">
        <w:rPr>
          <w:rFonts w:eastAsiaTheme="minorHAnsi"/>
          <w:color w:val="000000"/>
          <w:spacing w:val="-1"/>
          <w:sz w:val="16"/>
          <w:szCs w:val="16"/>
        </w:rPr>
        <w:tab/>
        <w:t xml:space="preserve">Clinical and Laboratories Institute: One-Stage Prothrombin Time (PT) Test and Activated Partial Thromboplastin Time (APTT) Test; Approved Guideline, CLSI Guideline H47-A2; Vol. 28, No. 20, 2008. </w:t>
      </w:r>
    </w:p>
    <w:p w14:paraId="70427C0B" w14:textId="50340EE6" w:rsidR="002A54FA" w:rsidRPr="002A54FA" w:rsidRDefault="002A54FA" w:rsidP="002A54FA">
      <w:pPr>
        <w:widowControl/>
        <w:tabs>
          <w:tab w:val="left" w:pos="160"/>
          <w:tab w:val="left" w:pos="320"/>
          <w:tab w:val="left" w:pos="46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2.</w:t>
      </w:r>
      <w:r w:rsidRPr="002A54FA">
        <w:rPr>
          <w:rFonts w:eastAsiaTheme="minorHAnsi"/>
          <w:color w:val="000000"/>
          <w:spacing w:val="-1"/>
          <w:sz w:val="16"/>
          <w:szCs w:val="16"/>
        </w:rPr>
        <w:tab/>
        <w:t>Clinical and Laboratories Institute: Point-of-Care Monitoring of Anticoagulation Therapy; Approved Guideline, CLSI Guideline H49-A; Vol. 24, No. 23, 2004.</w:t>
      </w:r>
    </w:p>
    <w:p w14:paraId="419D9DE5" w14:textId="782C5F86" w:rsidR="002A54FA" w:rsidRPr="002A54FA" w:rsidRDefault="002A54FA" w:rsidP="002A54FA">
      <w:pPr>
        <w:widowControl/>
        <w:tabs>
          <w:tab w:val="left" w:pos="160"/>
          <w:tab w:val="left" w:pos="320"/>
          <w:tab w:val="left" w:pos="460"/>
        </w:tabs>
        <w:suppressAutoHyphens/>
        <w:adjustRightInd w:val="0"/>
        <w:spacing w:line="288" w:lineRule="auto"/>
        <w:jc w:val="both"/>
        <w:textAlignment w:val="center"/>
        <w:rPr>
          <w:rFonts w:eastAsiaTheme="minorHAnsi"/>
          <w:color w:val="000000"/>
          <w:spacing w:val="-1"/>
          <w:sz w:val="16"/>
          <w:szCs w:val="16"/>
        </w:rPr>
      </w:pPr>
      <w:r w:rsidRPr="002A54FA">
        <w:rPr>
          <w:rFonts w:eastAsiaTheme="minorHAnsi"/>
          <w:color w:val="000000"/>
          <w:spacing w:val="-1"/>
          <w:sz w:val="16"/>
          <w:szCs w:val="16"/>
        </w:rPr>
        <w:t>3.</w:t>
      </w:r>
      <w:r w:rsidRPr="002A54FA">
        <w:rPr>
          <w:rFonts w:eastAsiaTheme="minorHAnsi"/>
          <w:color w:val="000000"/>
          <w:spacing w:val="-1"/>
          <w:sz w:val="16"/>
          <w:szCs w:val="16"/>
        </w:rPr>
        <w:tab/>
        <w:t>Clinical And Laboratory Standards Institute. Point-Of-Care In Vitro Diagnostic (</w:t>
      </w:r>
      <w:r w:rsidRPr="002A54FA">
        <w:rPr>
          <w:rFonts w:eastAsiaTheme="minorHAnsi"/>
          <w:caps/>
          <w:color w:val="000000"/>
          <w:spacing w:val="-1"/>
          <w:sz w:val="16"/>
          <w:szCs w:val="16"/>
        </w:rPr>
        <w:t>Ivd</w:t>
      </w:r>
      <w:r w:rsidRPr="002A54FA">
        <w:rPr>
          <w:rFonts w:eastAsiaTheme="minorHAnsi"/>
          <w:color w:val="000000"/>
          <w:spacing w:val="-1"/>
          <w:sz w:val="16"/>
          <w:szCs w:val="16"/>
        </w:rPr>
        <w:t xml:space="preserve">) Testing; Approved Guideline. </w:t>
      </w:r>
      <w:r w:rsidRPr="002A54FA">
        <w:rPr>
          <w:rFonts w:eastAsiaTheme="minorHAnsi"/>
          <w:caps/>
          <w:color w:val="000000"/>
          <w:spacing w:val="-1"/>
          <w:sz w:val="16"/>
          <w:szCs w:val="16"/>
        </w:rPr>
        <w:t>clsi</w:t>
      </w:r>
      <w:r w:rsidRPr="002A54FA">
        <w:rPr>
          <w:rFonts w:eastAsiaTheme="minorHAnsi"/>
          <w:color w:val="000000"/>
          <w:spacing w:val="-1"/>
          <w:sz w:val="16"/>
          <w:szCs w:val="16"/>
        </w:rPr>
        <w:t xml:space="preserve"> Document POCT4-A2, Vol. 26, No. 30, 2006.</w:t>
      </w:r>
    </w:p>
    <w:p w14:paraId="56BF233F" w14:textId="77777777" w:rsidR="002A54FA" w:rsidRPr="002A54FA" w:rsidRDefault="002A54FA" w:rsidP="002A54FA">
      <w:pPr>
        <w:widowControl/>
        <w:adjustRightInd w:val="0"/>
        <w:spacing w:before="40" w:line="288" w:lineRule="auto"/>
        <w:jc w:val="both"/>
        <w:textAlignment w:val="center"/>
        <w:rPr>
          <w:rFonts w:eastAsiaTheme="minorHAnsi"/>
          <w:color w:val="000000"/>
          <w:sz w:val="16"/>
          <w:szCs w:val="16"/>
        </w:rPr>
      </w:pPr>
      <w:r w:rsidRPr="002A54FA">
        <w:rPr>
          <w:rFonts w:eastAsiaTheme="minorHAnsi"/>
          <w:color w:val="000000"/>
          <w:sz w:val="16"/>
          <w:szCs w:val="16"/>
        </w:rPr>
        <w:t>For Sales, Technical and Order Information and Service Assistance, call 800-231-5663 toll free.</w:t>
      </w:r>
    </w:p>
    <w:p w14:paraId="7DB8058B" w14:textId="77777777" w:rsidR="002A54FA" w:rsidRPr="002A54FA" w:rsidRDefault="002A54FA" w:rsidP="002A54FA">
      <w:pPr>
        <w:widowControl/>
        <w:adjustRightInd w:val="0"/>
        <w:spacing w:line="288" w:lineRule="auto"/>
        <w:jc w:val="both"/>
        <w:textAlignment w:val="center"/>
        <w:rPr>
          <w:rFonts w:eastAsiaTheme="minorHAnsi"/>
          <w:color w:val="000000"/>
          <w:sz w:val="16"/>
          <w:szCs w:val="16"/>
        </w:rPr>
      </w:pPr>
      <w:r w:rsidRPr="002A54FA">
        <w:rPr>
          <w:rFonts w:eastAsiaTheme="minorHAnsi"/>
          <w:color w:val="000000"/>
          <w:sz w:val="16"/>
          <w:szCs w:val="16"/>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17B9A7A6" w14:textId="77777777" w:rsidR="002A54FA" w:rsidRPr="002A54FA" w:rsidRDefault="002A54FA" w:rsidP="002A54FA">
      <w:pPr>
        <w:widowControl/>
        <w:adjustRightInd w:val="0"/>
        <w:spacing w:line="288" w:lineRule="auto"/>
        <w:jc w:val="both"/>
        <w:textAlignment w:val="center"/>
        <w:rPr>
          <w:rFonts w:eastAsiaTheme="minorHAnsi"/>
          <w:color w:val="000000"/>
          <w:sz w:val="16"/>
          <w:szCs w:val="16"/>
        </w:rPr>
      </w:pPr>
      <w:r w:rsidRPr="002A54FA">
        <w:rPr>
          <w:rFonts w:eastAsiaTheme="minorHAnsi"/>
          <w:color w:val="000000"/>
          <w:sz w:val="16"/>
          <w:szCs w:val="16"/>
        </w:rPr>
        <w:t xml:space="preserve">In no case will Helena Laboratories be liable for consequential damages even if Helena has been advised as to the possibility of such damages. </w:t>
      </w:r>
    </w:p>
    <w:p w14:paraId="48615269" w14:textId="77777777" w:rsidR="002A54FA" w:rsidRPr="002A54FA" w:rsidRDefault="002A54FA" w:rsidP="002A54FA">
      <w:pPr>
        <w:widowControl/>
        <w:adjustRightInd w:val="0"/>
        <w:spacing w:line="288" w:lineRule="auto"/>
        <w:jc w:val="both"/>
        <w:textAlignment w:val="center"/>
        <w:rPr>
          <w:rFonts w:eastAsiaTheme="minorHAnsi"/>
          <w:color w:val="000000"/>
          <w:sz w:val="16"/>
          <w:szCs w:val="16"/>
        </w:rPr>
      </w:pPr>
      <w:r w:rsidRPr="002A54FA">
        <w:rPr>
          <w:rFonts w:eastAsiaTheme="minorHAnsi"/>
          <w:color w:val="000000"/>
          <w:sz w:val="16"/>
          <w:szCs w:val="16"/>
        </w:rPr>
        <w:t>The foregoing warranties are in lieu of all warranties expressed or implied including, but not limited to, the implied warranties of merchantability and fitness for a particular purpose.</w:t>
      </w:r>
    </w:p>
    <w:p w14:paraId="58A36E72" w14:textId="77777777" w:rsidR="002A54FA" w:rsidRPr="002A54FA" w:rsidRDefault="002A54FA" w:rsidP="002A54FA">
      <w:pPr>
        <w:widowControl/>
        <w:tabs>
          <w:tab w:val="left" w:pos="720"/>
          <w:tab w:val="left" w:pos="3975"/>
          <w:tab w:val="left" w:pos="7530"/>
        </w:tabs>
        <w:adjustRightInd w:val="0"/>
        <w:spacing w:line="288" w:lineRule="auto"/>
        <w:textAlignment w:val="center"/>
        <w:rPr>
          <w:rFonts w:eastAsiaTheme="minorHAnsi"/>
          <w:color w:val="000000"/>
          <w:spacing w:val="-1"/>
          <w:sz w:val="16"/>
          <w:szCs w:val="16"/>
          <w:u w:val="thick" w:color="000000"/>
        </w:rPr>
      </w:pPr>
    </w:p>
    <w:p w14:paraId="10D0DF43" w14:textId="77777777" w:rsidR="002A54FA" w:rsidRPr="002A54FA" w:rsidRDefault="002A54FA" w:rsidP="002A54FA">
      <w:pPr>
        <w:widowControl/>
        <w:tabs>
          <w:tab w:val="left" w:pos="720"/>
          <w:tab w:val="left" w:pos="3975"/>
          <w:tab w:val="left" w:pos="7530"/>
        </w:tabs>
        <w:adjustRightInd w:val="0"/>
        <w:spacing w:line="288" w:lineRule="auto"/>
        <w:textAlignment w:val="center"/>
        <w:rPr>
          <w:rFonts w:eastAsiaTheme="minorHAnsi"/>
          <w:color w:val="000000"/>
          <w:spacing w:val="-1"/>
          <w:sz w:val="16"/>
          <w:szCs w:val="16"/>
        </w:rPr>
      </w:pPr>
      <w:r w:rsidRPr="002A54FA">
        <w:rPr>
          <w:rFonts w:eastAsiaTheme="minorHAnsi"/>
          <w:color w:val="000000"/>
          <w:spacing w:val="-1"/>
          <w:sz w:val="16"/>
          <w:szCs w:val="16"/>
        </w:rPr>
        <w:t xml:space="preserve">            </w:t>
      </w:r>
      <w:r w:rsidRPr="002A54FA">
        <w:rPr>
          <w:rFonts w:eastAsiaTheme="minorHAnsi"/>
          <w:color w:val="000000"/>
          <w:spacing w:val="-1"/>
          <w:sz w:val="16"/>
          <w:szCs w:val="16"/>
        </w:rPr>
        <w:tab/>
      </w:r>
    </w:p>
    <w:p w14:paraId="3811CAA2" w14:textId="548D60F8" w:rsidR="002A54FA" w:rsidRPr="002A54FA" w:rsidRDefault="002A54FA" w:rsidP="002A54FA">
      <w:pPr>
        <w:widowControl/>
        <w:tabs>
          <w:tab w:val="left" w:pos="720"/>
          <w:tab w:val="left" w:pos="3975"/>
          <w:tab w:val="left" w:pos="7530"/>
        </w:tabs>
        <w:suppressAutoHyphens/>
        <w:adjustRightInd w:val="0"/>
        <w:spacing w:before="140" w:line="288" w:lineRule="auto"/>
        <w:jc w:val="both"/>
        <w:textAlignment w:val="center"/>
        <w:rPr>
          <w:rFonts w:ascii="Arial MT Std" w:eastAsiaTheme="minorHAnsi" w:hAnsi="Arial MT Std" w:cs="Arial MT Std"/>
          <w:color w:val="000000"/>
          <w:sz w:val="16"/>
          <w:szCs w:val="16"/>
        </w:rPr>
      </w:pPr>
      <w:r w:rsidRPr="00CD4D21">
        <w:rPr>
          <w:rFonts w:eastAsiaTheme="minorHAnsi"/>
          <w:noProof/>
          <w:color w:val="000000"/>
          <w:spacing w:val="-1"/>
          <w:sz w:val="12"/>
          <w:szCs w:val="12"/>
        </w:rPr>
        <w:drawing>
          <wp:anchor distT="0" distB="0" distL="114300" distR="114300" simplePos="0" relativeHeight="251658240" behindDoc="1" locked="0" layoutInCell="1" allowOverlap="1" wp14:anchorId="26558B95" wp14:editId="27A3DE21">
            <wp:simplePos x="0" y="0"/>
            <wp:positionH relativeFrom="column">
              <wp:posOffset>0</wp:posOffset>
            </wp:positionH>
            <wp:positionV relativeFrom="paragraph">
              <wp:posOffset>90805</wp:posOffset>
            </wp:positionV>
            <wp:extent cx="300566" cy="300566"/>
            <wp:effectExtent l="0" t="0" r="0" b="0"/>
            <wp:wrapTight wrapText="bothSides">
              <wp:wrapPolygon edited="0">
                <wp:start x="15526" y="0"/>
                <wp:lineTo x="0" y="6393"/>
                <wp:lineTo x="0" y="21006"/>
                <wp:lineTo x="21006" y="21006"/>
                <wp:lineTo x="21006" y="0"/>
                <wp:lineTo x="15526"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0566" cy="300566"/>
                    </a:xfrm>
                    <a:prstGeom prst="rect">
                      <a:avLst/>
                    </a:prstGeom>
                  </pic:spPr>
                </pic:pic>
              </a:graphicData>
            </a:graphic>
            <wp14:sizeRelH relativeFrom="page">
              <wp14:pctWidth>0</wp14:pctWidth>
            </wp14:sizeRelH>
            <wp14:sizeRelV relativeFrom="page">
              <wp14:pctHeight>0</wp14:pctHeight>
            </wp14:sizeRelV>
          </wp:anchor>
        </w:drawing>
      </w:r>
      <w:r w:rsidRPr="002A54FA">
        <w:rPr>
          <w:rFonts w:ascii="Arial MT Std" w:eastAsiaTheme="minorHAnsi" w:hAnsi="Arial MT Std" w:cs="Arial MT Std"/>
          <w:color w:val="000000"/>
          <w:spacing w:val="-1"/>
          <w:sz w:val="16"/>
          <w:szCs w:val="16"/>
        </w:rPr>
        <w:t>Helena Laboratories</w:t>
      </w:r>
    </w:p>
    <w:p w14:paraId="1D9772A9" w14:textId="4ECDE0C9" w:rsidR="002A54FA" w:rsidRPr="002A54FA" w:rsidRDefault="002A54FA" w:rsidP="002A54FA">
      <w:pPr>
        <w:widowControl/>
        <w:adjustRightInd w:val="0"/>
        <w:spacing w:line="288" w:lineRule="auto"/>
        <w:jc w:val="both"/>
        <w:textAlignment w:val="center"/>
        <w:rPr>
          <w:rFonts w:ascii="Arial MT Std" w:eastAsiaTheme="minorHAnsi" w:hAnsi="Arial MT Std" w:cs="Arial MT Std"/>
          <w:color w:val="000000"/>
          <w:sz w:val="16"/>
          <w:szCs w:val="16"/>
        </w:rPr>
      </w:pPr>
      <w:r w:rsidRPr="002A54FA">
        <w:rPr>
          <w:rFonts w:ascii="Arial MT Std" w:eastAsiaTheme="minorHAnsi" w:hAnsi="Arial MT Std" w:cs="Arial MT Std"/>
          <w:color w:val="000000"/>
          <w:sz w:val="16"/>
          <w:szCs w:val="16"/>
        </w:rPr>
        <w:t>1530 Lindbergh Drive</w:t>
      </w:r>
    </w:p>
    <w:p w14:paraId="56166DA6" w14:textId="4B355EED" w:rsidR="002A54FA" w:rsidRPr="002A54FA" w:rsidRDefault="002A54FA" w:rsidP="002A54FA">
      <w:pPr>
        <w:widowControl/>
        <w:tabs>
          <w:tab w:val="left" w:pos="720"/>
          <w:tab w:val="left" w:pos="3975"/>
          <w:tab w:val="left" w:pos="7530"/>
        </w:tabs>
        <w:suppressAutoHyphens/>
        <w:adjustRightInd w:val="0"/>
        <w:spacing w:line="288" w:lineRule="auto"/>
        <w:jc w:val="both"/>
        <w:textAlignment w:val="center"/>
        <w:rPr>
          <w:rFonts w:ascii="Arial MT Std" w:eastAsiaTheme="minorHAnsi" w:hAnsi="Arial MT Std" w:cs="Arial MT Std"/>
          <w:color w:val="000000"/>
          <w:sz w:val="16"/>
          <w:szCs w:val="16"/>
        </w:rPr>
      </w:pPr>
      <w:r w:rsidRPr="002A54FA">
        <w:rPr>
          <w:rFonts w:ascii="Arial MT Std" w:eastAsiaTheme="minorHAnsi" w:hAnsi="Arial MT Std" w:cs="Arial MT Std"/>
          <w:color w:val="000000"/>
          <w:spacing w:val="-1"/>
          <w:sz w:val="16"/>
          <w:szCs w:val="16"/>
        </w:rPr>
        <w:t>Beaumont, TX 77707, USA</w:t>
      </w:r>
    </w:p>
    <w:p w14:paraId="0A5505AB" w14:textId="77777777" w:rsidR="002A54FA" w:rsidRPr="002A54FA" w:rsidRDefault="002A54FA" w:rsidP="002A54FA">
      <w:pPr>
        <w:widowControl/>
        <w:tabs>
          <w:tab w:val="left" w:pos="720"/>
          <w:tab w:val="left" w:pos="3975"/>
          <w:tab w:val="left" w:pos="7530"/>
        </w:tabs>
        <w:suppressAutoHyphens/>
        <w:adjustRightInd w:val="0"/>
        <w:spacing w:before="140" w:line="288" w:lineRule="auto"/>
        <w:jc w:val="both"/>
        <w:textAlignment w:val="center"/>
        <w:rPr>
          <w:rFonts w:eastAsiaTheme="minorHAnsi"/>
          <w:color w:val="000000"/>
          <w:spacing w:val="-1"/>
          <w:sz w:val="16"/>
          <w:szCs w:val="16"/>
        </w:rPr>
      </w:pPr>
    </w:p>
    <w:p w14:paraId="7AC72F3C" w14:textId="77777777" w:rsidR="002A54FA" w:rsidRPr="002A54FA" w:rsidRDefault="002A54FA" w:rsidP="002A54FA">
      <w:pPr>
        <w:widowControl/>
        <w:tabs>
          <w:tab w:val="left" w:pos="720"/>
          <w:tab w:val="left" w:pos="3975"/>
          <w:tab w:val="left" w:pos="7530"/>
        </w:tabs>
        <w:suppressAutoHyphens/>
        <w:adjustRightInd w:val="0"/>
        <w:spacing w:before="140" w:line="288" w:lineRule="auto"/>
        <w:textAlignment w:val="center"/>
        <w:rPr>
          <w:rFonts w:eastAsiaTheme="minorHAnsi"/>
          <w:color w:val="000000"/>
          <w:spacing w:val="-1"/>
          <w:sz w:val="16"/>
          <w:szCs w:val="16"/>
        </w:rPr>
      </w:pPr>
      <w:r w:rsidRPr="002A54FA">
        <w:rPr>
          <w:rFonts w:eastAsiaTheme="minorHAnsi"/>
          <w:color w:val="000000"/>
          <w:spacing w:val="-1"/>
          <w:sz w:val="16"/>
          <w:szCs w:val="16"/>
        </w:rPr>
        <w:t>Pro. 209</w:t>
      </w:r>
    </w:p>
    <w:p w14:paraId="466C00E4" w14:textId="77777777" w:rsidR="002A54FA" w:rsidRPr="002A54FA" w:rsidRDefault="002A54FA" w:rsidP="002A54FA">
      <w:pPr>
        <w:widowControl/>
        <w:tabs>
          <w:tab w:val="left" w:pos="160"/>
          <w:tab w:val="left" w:pos="320"/>
        </w:tabs>
        <w:suppressAutoHyphens/>
        <w:adjustRightInd w:val="0"/>
        <w:spacing w:line="288" w:lineRule="auto"/>
        <w:textAlignment w:val="center"/>
        <w:rPr>
          <w:rFonts w:eastAsiaTheme="minorHAnsi"/>
          <w:color w:val="000000"/>
          <w:spacing w:val="-1"/>
          <w:sz w:val="16"/>
          <w:szCs w:val="16"/>
        </w:rPr>
      </w:pPr>
      <w:r w:rsidRPr="002A54FA">
        <w:rPr>
          <w:rFonts w:eastAsiaTheme="minorHAnsi"/>
          <w:color w:val="000000"/>
          <w:spacing w:val="-1"/>
          <w:sz w:val="16"/>
          <w:szCs w:val="16"/>
        </w:rPr>
        <w:t>5/22(6)</w:t>
      </w:r>
    </w:p>
    <w:p w14:paraId="3BC8D423" w14:textId="77777777" w:rsidR="00CD4D21" w:rsidRDefault="00CD4D21" w:rsidP="00CD4D21">
      <w:pPr>
        <w:widowControl/>
        <w:tabs>
          <w:tab w:val="left" w:pos="160"/>
          <w:tab w:val="left" w:pos="320"/>
        </w:tabs>
        <w:suppressAutoHyphens/>
        <w:adjustRightInd w:val="0"/>
        <w:spacing w:line="288" w:lineRule="auto"/>
        <w:jc w:val="right"/>
        <w:textAlignment w:val="center"/>
        <w:rPr>
          <w:rFonts w:eastAsiaTheme="minorHAnsi"/>
          <w:color w:val="000000"/>
          <w:spacing w:val="-1"/>
          <w:sz w:val="12"/>
          <w:szCs w:val="12"/>
        </w:rPr>
      </w:pPr>
    </w:p>
    <w:p w14:paraId="025A5B0C" w14:textId="77777777" w:rsidR="00CD4D21" w:rsidRDefault="00CD4D21" w:rsidP="00CD4D21">
      <w:pPr>
        <w:widowControl/>
        <w:tabs>
          <w:tab w:val="left" w:pos="160"/>
          <w:tab w:val="left" w:pos="320"/>
        </w:tabs>
        <w:suppressAutoHyphens/>
        <w:adjustRightInd w:val="0"/>
        <w:spacing w:line="288" w:lineRule="auto"/>
        <w:jc w:val="right"/>
        <w:textAlignment w:val="center"/>
        <w:rPr>
          <w:rFonts w:eastAsiaTheme="minorHAnsi"/>
          <w:color w:val="000000"/>
          <w:spacing w:val="-1"/>
          <w:sz w:val="12"/>
          <w:szCs w:val="12"/>
        </w:rPr>
      </w:pPr>
    </w:p>
    <w:p w14:paraId="27ACC8D0" w14:textId="77777777" w:rsidR="00CD4D21" w:rsidRDefault="00CD4D21" w:rsidP="00CD4D21">
      <w:pPr>
        <w:rPr>
          <w:noProof/>
          <w:sz w:val="20"/>
        </w:rPr>
      </w:pPr>
    </w:p>
    <w:p w14:paraId="11186EAF" w14:textId="18D1E77C" w:rsidR="00D23863" w:rsidRPr="00CD4D21" w:rsidRDefault="00CD4D21" w:rsidP="00CD4D21">
      <w:pPr>
        <w:rPr>
          <w:rFonts w:ascii="Times New Roman"/>
          <w:sz w:val="11"/>
          <w:szCs w:val="12"/>
        </w:rPr>
        <w:sectPr w:rsidR="00D23863" w:rsidRPr="00CD4D21" w:rsidSect="00433416">
          <w:type w:val="continuous"/>
          <w:pgSz w:w="12330" w:h="15840"/>
          <w:pgMar w:top="360" w:right="560" w:bottom="280" w:left="680" w:header="720" w:footer="720" w:gutter="0"/>
          <w:cols w:space="4954"/>
        </w:sectPr>
      </w:pPr>
      <w:r w:rsidRPr="00CD4D21">
        <w:rPr>
          <w:rFonts w:ascii="Times New Roman"/>
          <w:noProof/>
          <w:sz w:val="11"/>
        </w:rPr>
        <w:drawing>
          <wp:inline distT="0" distB="0" distL="0" distR="0" wp14:anchorId="443F3C25" wp14:editId="48F3334E">
            <wp:extent cx="2095500" cy="736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5500" cy="736600"/>
                    </a:xfrm>
                    <a:prstGeom prst="rect">
                      <a:avLst/>
                    </a:prstGeom>
                  </pic:spPr>
                </pic:pic>
              </a:graphicData>
            </a:graphic>
          </wp:inline>
        </w:drawing>
      </w:r>
    </w:p>
    <w:p w14:paraId="1822444A" w14:textId="77777777" w:rsidR="00580141" w:rsidRDefault="00580141" w:rsidP="00CD4D21">
      <w:pPr>
        <w:spacing w:line="120" w:lineRule="exact"/>
        <w:sectPr w:rsidR="00580141">
          <w:type w:val="continuous"/>
          <w:pgSz w:w="12240" w:h="15840"/>
          <w:pgMar w:top="360" w:right="620" w:bottom="280" w:left="620" w:header="720" w:footer="720" w:gutter="0"/>
          <w:cols w:num="2" w:space="720" w:equalWidth="0">
            <w:col w:w="7257" w:space="40"/>
            <w:col w:w="3703"/>
          </w:cols>
        </w:sectPr>
      </w:pPr>
    </w:p>
    <w:p w14:paraId="74FBEAEB" w14:textId="764D9173" w:rsidR="00580141" w:rsidRDefault="00580141" w:rsidP="00CD4D21">
      <w:pPr>
        <w:spacing w:line="176" w:lineRule="exact"/>
        <w:ind w:right="1731"/>
        <w:rPr>
          <w:rFonts w:ascii="Arial Narrow"/>
          <w:sz w:val="16"/>
        </w:rPr>
      </w:pPr>
    </w:p>
    <w:sectPr w:rsidR="00580141">
      <w:type w:val="continuous"/>
      <w:pgSz w:w="12240" w:h="15840"/>
      <w:pgMar w:top="36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MT Std">
    <w:panose1 w:val="020B0402020200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B546A"/>
    <w:multiLevelType w:val="hybridMultilevel"/>
    <w:tmpl w:val="4A3AE5A4"/>
    <w:lvl w:ilvl="0" w:tplc="7E18BB88">
      <w:start w:val="1"/>
      <w:numFmt w:val="decimal"/>
      <w:lvlText w:val="%1."/>
      <w:lvlJc w:val="left"/>
      <w:pPr>
        <w:ind w:left="319" w:hanging="160"/>
      </w:pPr>
      <w:rPr>
        <w:rFonts w:ascii="Arial" w:eastAsia="Arial" w:hAnsi="Arial" w:cs="Arial" w:hint="default"/>
        <w:spacing w:val="-10"/>
        <w:w w:val="100"/>
        <w:sz w:val="12"/>
        <w:szCs w:val="12"/>
      </w:rPr>
    </w:lvl>
    <w:lvl w:ilvl="1" w:tplc="E8521CB6">
      <w:numFmt w:val="bullet"/>
      <w:lvlText w:val="•"/>
      <w:lvlJc w:val="left"/>
      <w:pPr>
        <w:ind w:left="804" w:hanging="160"/>
      </w:pPr>
      <w:rPr>
        <w:rFonts w:hint="default"/>
      </w:rPr>
    </w:lvl>
    <w:lvl w:ilvl="2" w:tplc="EAD4821A">
      <w:numFmt w:val="bullet"/>
      <w:lvlText w:val="•"/>
      <w:lvlJc w:val="left"/>
      <w:pPr>
        <w:ind w:left="1289" w:hanging="160"/>
      </w:pPr>
      <w:rPr>
        <w:rFonts w:hint="default"/>
      </w:rPr>
    </w:lvl>
    <w:lvl w:ilvl="3" w:tplc="A4F6E588">
      <w:numFmt w:val="bullet"/>
      <w:lvlText w:val="•"/>
      <w:lvlJc w:val="left"/>
      <w:pPr>
        <w:ind w:left="1774" w:hanging="160"/>
      </w:pPr>
      <w:rPr>
        <w:rFonts w:hint="default"/>
      </w:rPr>
    </w:lvl>
    <w:lvl w:ilvl="4" w:tplc="399C6972">
      <w:numFmt w:val="bullet"/>
      <w:lvlText w:val="•"/>
      <w:lvlJc w:val="left"/>
      <w:pPr>
        <w:ind w:left="2259" w:hanging="160"/>
      </w:pPr>
      <w:rPr>
        <w:rFonts w:hint="default"/>
      </w:rPr>
    </w:lvl>
    <w:lvl w:ilvl="5" w:tplc="93EAE696">
      <w:numFmt w:val="bullet"/>
      <w:lvlText w:val="•"/>
      <w:lvlJc w:val="left"/>
      <w:pPr>
        <w:ind w:left="2744" w:hanging="160"/>
      </w:pPr>
      <w:rPr>
        <w:rFonts w:hint="default"/>
      </w:rPr>
    </w:lvl>
    <w:lvl w:ilvl="6" w:tplc="C380A738">
      <w:numFmt w:val="bullet"/>
      <w:lvlText w:val="•"/>
      <w:lvlJc w:val="left"/>
      <w:pPr>
        <w:ind w:left="3228" w:hanging="160"/>
      </w:pPr>
      <w:rPr>
        <w:rFonts w:hint="default"/>
      </w:rPr>
    </w:lvl>
    <w:lvl w:ilvl="7" w:tplc="A05C913A">
      <w:numFmt w:val="bullet"/>
      <w:lvlText w:val="•"/>
      <w:lvlJc w:val="left"/>
      <w:pPr>
        <w:ind w:left="3713" w:hanging="160"/>
      </w:pPr>
      <w:rPr>
        <w:rFonts w:hint="default"/>
      </w:rPr>
    </w:lvl>
    <w:lvl w:ilvl="8" w:tplc="CF6E5000">
      <w:numFmt w:val="bullet"/>
      <w:lvlText w:val="•"/>
      <w:lvlJc w:val="left"/>
      <w:pPr>
        <w:ind w:left="4198" w:hanging="160"/>
      </w:pPr>
      <w:rPr>
        <w:rFonts w:hint="default"/>
      </w:rPr>
    </w:lvl>
  </w:abstractNum>
  <w:abstractNum w:abstractNumId="1"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 w15:restartNumberingAfterBreak="0">
    <w:nsid w:val="32B15DF6"/>
    <w:multiLevelType w:val="hybridMultilevel"/>
    <w:tmpl w:val="F714453A"/>
    <w:lvl w:ilvl="0" w:tplc="44781676">
      <w:numFmt w:val="bullet"/>
      <w:lvlText w:val="•"/>
      <w:lvlJc w:val="left"/>
      <w:pPr>
        <w:ind w:left="320" w:hanging="160"/>
      </w:pPr>
      <w:rPr>
        <w:rFonts w:ascii="Arial" w:eastAsia="Arial" w:hAnsi="Arial" w:cs="Arial" w:hint="default"/>
        <w:spacing w:val="-16"/>
        <w:w w:val="90"/>
        <w:sz w:val="12"/>
        <w:szCs w:val="12"/>
      </w:rPr>
    </w:lvl>
    <w:lvl w:ilvl="1" w:tplc="0526F6BE">
      <w:numFmt w:val="bullet"/>
      <w:lvlText w:val="•"/>
      <w:lvlJc w:val="left"/>
      <w:pPr>
        <w:ind w:left="804" w:hanging="160"/>
      </w:pPr>
      <w:rPr>
        <w:rFonts w:hint="default"/>
      </w:rPr>
    </w:lvl>
    <w:lvl w:ilvl="2" w:tplc="92C870A0">
      <w:numFmt w:val="bullet"/>
      <w:lvlText w:val="•"/>
      <w:lvlJc w:val="left"/>
      <w:pPr>
        <w:ind w:left="1289" w:hanging="160"/>
      </w:pPr>
      <w:rPr>
        <w:rFonts w:hint="default"/>
      </w:rPr>
    </w:lvl>
    <w:lvl w:ilvl="3" w:tplc="0FA472AA">
      <w:numFmt w:val="bullet"/>
      <w:lvlText w:val="•"/>
      <w:lvlJc w:val="left"/>
      <w:pPr>
        <w:ind w:left="1774" w:hanging="160"/>
      </w:pPr>
      <w:rPr>
        <w:rFonts w:hint="default"/>
      </w:rPr>
    </w:lvl>
    <w:lvl w:ilvl="4" w:tplc="5028A594">
      <w:numFmt w:val="bullet"/>
      <w:lvlText w:val="•"/>
      <w:lvlJc w:val="left"/>
      <w:pPr>
        <w:ind w:left="2259" w:hanging="160"/>
      </w:pPr>
      <w:rPr>
        <w:rFonts w:hint="default"/>
      </w:rPr>
    </w:lvl>
    <w:lvl w:ilvl="5" w:tplc="991A1FF0">
      <w:numFmt w:val="bullet"/>
      <w:lvlText w:val="•"/>
      <w:lvlJc w:val="left"/>
      <w:pPr>
        <w:ind w:left="2744" w:hanging="160"/>
      </w:pPr>
      <w:rPr>
        <w:rFonts w:hint="default"/>
      </w:rPr>
    </w:lvl>
    <w:lvl w:ilvl="6" w:tplc="7AF222D8">
      <w:numFmt w:val="bullet"/>
      <w:lvlText w:val="•"/>
      <w:lvlJc w:val="left"/>
      <w:pPr>
        <w:ind w:left="3228" w:hanging="160"/>
      </w:pPr>
      <w:rPr>
        <w:rFonts w:hint="default"/>
      </w:rPr>
    </w:lvl>
    <w:lvl w:ilvl="7" w:tplc="3D5A1F34">
      <w:numFmt w:val="bullet"/>
      <w:lvlText w:val="•"/>
      <w:lvlJc w:val="left"/>
      <w:pPr>
        <w:ind w:left="3713" w:hanging="160"/>
      </w:pPr>
      <w:rPr>
        <w:rFonts w:hint="default"/>
      </w:rPr>
    </w:lvl>
    <w:lvl w:ilvl="8" w:tplc="6D027FC0">
      <w:numFmt w:val="bullet"/>
      <w:lvlText w:val="•"/>
      <w:lvlJc w:val="left"/>
      <w:pPr>
        <w:ind w:left="4198" w:hanging="160"/>
      </w:pPr>
      <w:rPr>
        <w:rFonts w:hint="default"/>
      </w:rPr>
    </w:lvl>
  </w:abstractNum>
  <w:abstractNum w:abstractNumId="3"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 w15:restartNumberingAfterBreak="0">
    <w:nsid w:val="5DC75870"/>
    <w:multiLevelType w:val="hybridMultilevel"/>
    <w:tmpl w:val="2D08EA5C"/>
    <w:lvl w:ilvl="0" w:tplc="5A04CCD6">
      <w:start w:val="1"/>
      <w:numFmt w:val="decimal"/>
      <w:lvlText w:val="%1."/>
      <w:lvlJc w:val="left"/>
      <w:pPr>
        <w:ind w:left="359" w:hanging="240"/>
      </w:pPr>
      <w:rPr>
        <w:rFonts w:ascii="Arial" w:eastAsia="Arial" w:hAnsi="Arial" w:cs="Arial" w:hint="default"/>
        <w:spacing w:val="-15"/>
        <w:w w:val="100"/>
        <w:sz w:val="12"/>
        <w:szCs w:val="12"/>
      </w:rPr>
    </w:lvl>
    <w:lvl w:ilvl="1" w:tplc="A2CC028C">
      <w:numFmt w:val="bullet"/>
      <w:lvlText w:val="•"/>
      <w:lvlJc w:val="left"/>
      <w:pPr>
        <w:ind w:left="851" w:hanging="240"/>
      </w:pPr>
      <w:rPr>
        <w:rFonts w:hint="default"/>
      </w:rPr>
    </w:lvl>
    <w:lvl w:ilvl="2" w:tplc="2488D732">
      <w:numFmt w:val="bullet"/>
      <w:lvlText w:val="•"/>
      <w:lvlJc w:val="left"/>
      <w:pPr>
        <w:ind w:left="1343" w:hanging="240"/>
      </w:pPr>
      <w:rPr>
        <w:rFonts w:hint="default"/>
      </w:rPr>
    </w:lvl>
    <w:lvl w:ilvl="3" w:tplc="13F874F2">
      <w:numFmt w:val="bullet"/>
      <w:lvlText w:val="•"/>
      <w:lvlJc w:val="left"/>
      <w:pPr>
        <w:ind w:left="1834" w:hanging="240"/>
      </w:pPr>
      <w:rPr>
        <w:rFonts w:hint="default"/>
      </w:rPr>
    </w:lvl>
    <w:lvl w:ilvl="4" w:tplc="0700D9D8">
      <w:numFmt w:val="bullet"/>
      <w:lvlText w:val="•"/>
      <w:lvlJc w:val="left"/>
      <w:pPr>
        <w:ind w:left="2326" w:hanging="240"/>
      </w:pPr>
      <w:rPr>
        <w:rFonts w:hint="default"/>
      </w:rPr>
    </w:lvl>
    <w:lvl w:ilvl="5" w:tplc="C9EE562E">
      <w:numFmt w:val="bullet"/>
      <w:lvlText w:val="•"/>
      <w:lvlJc w:val="left"/>
      <w:pPr>
        <w:ind w:left="2817" w:hanging="240"/>
      </w:pPr>
      <w:rPr>
        <w:rFonts w:hint="default"/>
      </w:rPr>
    </w:lvl>
    <w:lvl w:ilvl="6" w:tplc="81541B12">
      <w:numFmt w:val="bullet"/>
      <w:lvlText w:val="•"/>
      <w:lvlJc w:val="left"/>
      <w:pPr>
        <w:ind w:left="3309" w:hanging="240"/>
      </w:pPr>
      <w:rPr>
        <w:rFonts w:hint="default"/>
      </w:rPr>
    </w:lvl>
    <w:lvl w:ilvl="7" w:tplc="EB56DBC0">
      <w:numFmt w:val="bullet"/>
      <w:lvlText w:val="•"/>
      <w:lvlJc w:val="left"/>
      <w:pPr>
        <w:ind w:left="3800" w:hanging="240"/>
      </w:pPr>
      <w:rPr>
        <w:rFonts w:hint="default"/>
      </w:rPr>
    </w:lvl>
    <w:lvl w:ilvl="8" w:tplc="180E23C0">
      <w:numFmt w:val="bullet"/>
      <w:lvlText w:val="•"/>
      <w:lvlJc w:val="left"/>
      <w:pPr>
        <w:ind w:left="4292" w:hanging="240"/>
      </w:pPr>
      <w:rPr>
        <w:rFonts w:hint="default"/>
      </w:rPr>
    </w:lvl>
  </w:abstractNum>
  <w:abstractNum w:abstractNumId="5" w15:restartNumberingAfterBreak="0">
    <w:nsid w:val="66214CFE"/>
    <w:multiLevelType w:val="hybridMultilevel"/>
    <w:tmpl w:val="05D624A0"/>
    <w:lvl w:ilvl="0" w:tplc="65D8968C">
      <w:start w:val="1"/>
      <w:numFmt w:val="decimal"/>
      <w:lvlText w:val="%1."/>
      <w:lvlJc w:val="left"/>
      <w:pPr>
        <w:ind w:left="359" w:hanging="240"/>
      </w:pPr>
      <w:rPr>
        <w:rFonts w:ascii="Arial" w:eastAsia="Arial" w:hAnsi="Arial" w:cs="Arial" w:hint="default"/>
        <w:spacing w:val="-11"/>
        <w:w w:val="100"/>
        <w:sz w:val="12"/>
        <w:szCs w:val="12"/>
      </w:rPr>
    </w:lvl>
    <w:lvl w:ilvl="1" w:tplc="25BCF020">
      <w:numFmt w:val="bullet"/>
      <w:lvlText w:val="•"/>
      <w:lvlJc w:val="left"/>
      <w:pPr>
        <w:ind w:left="851" w:hanging="240"/>
      </w:pPr>
      <w:rPr>
        <w:rFonts w:hint="default"/>
      </w:rPr>
    </w:lvl>
    <w:lvl w:ilvl="2" w:tplc="8AB264C8">
      <w:numFmt w:val="bullet"/>
      <w:lvlText w:val="•"/>
      <w:lvlJc w:val="left"/>
      <w:pPr>
        <w:ind w:left="1343" w:hanging="240"/>
      </w:pPr>
      <w:rPr>
        <w:rFonts w:hint="default"/>
      </w:rPr>
    </w:lvl>
    <w:lvl w:ilvl="3" w:tplc="D4BA692E">
      <w:numFmt w:val="bullet"/>
      <w:lvlText w:val="•"/>
      <w:lvlJc w:val="left"/>
      <w:pPr>
        <w:ind w:left="1834" w:hanging="240"/>
      </w:pPr>
      <w:rPr>
        <w:rFonts w:hint="default"/>
      </w:rPr>
    </w:lvl>
    <w:lvl w:ilvl="4" w:tplc="90DA7164">
      <w:numFmt w:val="bullet"/>
      <w:lvlText w:val="•"/>
      <w:lvlJc w:val="left"/>
      <w:pPr>
        <w:ind w:left="2326" w:hanging="240"/>
      </w:pPr>
      <w:rPr>
        <w:rFonts w:hint="default"/>
      </w:rPr>
    </w:lvl>
    <w:lvl w:ilvl="5" w:tplc="695C660A">
      <w:numFmt w:val="bullet"/>
      <w:lvlText w:val="•"/>
      <w:lvlJc w:val="left"/>
      <w:pPr>
        <w:ind w:left="2817" w:hanging="240"/>
      </w:pPr>
      <w:rPr>
        <w:rFonts w:hint="default"/>
      </w:rPr>
    </w:lvl>
    <w:lvl w:ilvl="6" w:tplc="F18ADB88">
      <w:numFmt w:val="bullet"/>
      <w:lvlText w:val="•"/>
      <w:lvlJc w:val="left"/>
      <w:pPr>
        <w:ind w:left="3309" w:hanging="240"/>
      </w:pPr>
      <w:rPr>
        <w:rFonts w:hint="default"/>
      </w:rPr>
    </w:lvl>
    <w:lvl w:ilvl="7" w:tplc="8D00C87C">
      <w:numFmt w:val="bullet"/>
      <w:lvlText w:val="•"/>
      <w:lvlJc w:val="left"/>
      <w:pPr>
        <w:ind w:left="3800" w:hanging="240"/>
      </w:pPr>
      <w:rPr>
        <w:rFonts w:hint="default"/>
      </w:rPr>
    </w:lvl>
    <w:lvl w:ilvl="8" w:tplc="E7BCCA44">
      <w:numFmt w:val="bullet"/>
      <w:lvlText w:val="•"/>
      <w:lvlJc w:val="left"/>
      <w:pPr>
        <w:ind w:left="4292" w:hanging="240"/>
      </w:pPr>
      <w:rPr>
        <w:rFonts w:hint="default"/>
      </w:rPr>
    </w:lvl>
  </w:abstractNum>
  <w:num w:numId="1" w16cid:durableId="1833328156">
    <w:abstractNumId w:val="4"/>
  </w:num>
  <w:num w:numId="2" w16cid:durableId="325015137">
    <w:abstractNumId w:val="5"/>
  </w:num>
  <w:num w:numId="3" w16cid:durableId="1899589168">
    <w:abstractNumId w:val="0"/>
  </w:num>
  <w:num w:numId="4" w16cid:durableId="418216382">
    <w:abstractNumId w:val="2"/>
  </w:num>
  <w:num w:numId="5" w16cid:durableId="1315718564">
    <w:abstractNumId w:val="3"/>
  </w:num>
  <w:num w:numId="6" w16cid:durableId="478956387">
    <w:abstractNumId w:val="1"/>
  </w:num>
  <w:num w:numId="7" w16cid:durableId="843009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580141"/>
    <w:rsid w:val="002A54FA"/>
    <w:rsid w:val="003E5B82"/>
    <w:rsid w:val="00580141"/>
    <w:rsid w:val="009F45FD"/>
    <w:rsid w:val="00CD4D21"/>
    <w:rsid w:val="00D23863"/>
    <w:rsid w:val="00DB3F4F"/>
    <w:rsid w:val="00F7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B0629"/>
  <w15:docId w15:val="{EACDAF8D-7066-4BC2-B93A-670A7ABB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1"/>
      <w:outlineLvl w:val="0"/>
    </w:pPr>
    <w:rPr>
      <w:b/>
      <w:bCs/>
      <w:sz w:val="21"/>
      <w:szCs w:val="21"/>
    </w:rPr>
  </w:style>
  <w:style w:type="paragraph" w:styleId="Heading2">
    <w:name w:val="heading 2"/>
    <w:basedOn w:val="Normal"/>
    <w:uiPriority w:val="1"/>
    <w:qFormat/>
    <w:pPr>
      <w:spacing w:before="31" w:line="183" w:lineRule="exact"/>
      <w:ind w:left="160"/>
      <w:jc w:val="both"/>
      <w:outlineLvl w:val="1"/>
    </w:pPr>
    <w:rPr>
      <w:b/>
      <w:bCs/>
      <w:sz w:val="16"/>
      <w:szCs w:val="16"/>
    </w:rPr>
  </w:style>
  <w:style w:type="paragraph" w:styleId="Heading3">
    <w:name w:val="heading 3"/>
    <w:basedOn w:val="Normal"/>
    <w:uiPriority w:val="1"/>
    <w:qFormat/>
    <w:pPr>
      <w:ind w:left="839"/>
      <w:outlineLvl w:val="2"/>
    </w:pPr>
    <w:rPr>
      <w:sz w:val="14"/>
      <w:szCs w:val="14"/>
    </w:rPr>
  </w:style>
  <w:style w:type="paragraph" w:styleId="Heading4">
    <w:name w:val="heading 4"/>
    <w:basedOn w:val="Normal"/>
    <w:uiPriority w:val="1"/>
    <w:qFormat/>
    <w:pPr>
      <w:spacing w:before="6"/>
      <w:ind w:left="120"/>
      <w:outlineLvl w:val="3"/>
    </w:pPr>
    <w:rPr>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jc w:val="both"/>
    </w:pPr>
    <w:rPr>
      <w:sz w:val="12"/>
      <w:szCs w:val="12"/>
    </w:rPr>
  </w:style>
  <w:style w:type="paragraph" w:styleId="ListParagraph">
    <w:name w:val="List Paragraph"/>
    <w:basedOn w:val="Normal"/>
    <w:uiPriority w:val="1"/>
    <w:qFormat/>
    <w:pPr>
      <w:ind w:left="319" w:hanging="160"/>
      <w:jc w:val="both"/>
    </w:pPr>
  </w:style>
  <w:style w:type="paragraph" w:customStyle="1" w:styleId="TableParagraph">
    <w:name w:val="Table Paragraph"/>
    <w:basedOn w:val="Normal"/>
    <w:uiPriority w:val="1"/>
    <w:qFormat/>
    <w:pPr>
      <w:spacing w:before="21"/>
    </w:pPr>
    <w:rPr>
      <w:rFonts w:ascii="Arial Narrow" w:eastAsia="Arial Narrow" w:hAnsi="Arial Narrow" w:cs="Arial Narrow"/>
    </w:rPr>
  </w:style>
  <w:style w:type="paragraph" w:customStyle="1" w:styleId="DefaultText">
    <w:name w:val="Default Text"/>
    <w:basedOn w:val="Normal"/>
    <w:rsid w:val="00D23863"/>
    <w:pPr>
      <w:widowControl/>
      <w:overflowPunct w:val="0"/>
      <w:adjustRightInd w:val="0"/>
      <w:textAlignment w:val="baseline"/>
    </w:pPr>
    <w:rPr>
      <w:rFonts w:ascii="Times New Roman" w:eastAsia="Times New Roman" w:hAnsi="Times New Roman" w:cs="Times New Roman"/>
      <w:sz w:val="20"/>
      <w:szCs w:val="20"/>
    </w:rPr>
  </w:style>
  <w:style w:type="paragraph" w:customStyle="1" w:styleId="PROtitle">
    <w:name w:val="PRO title"/>
    <w:basedOn w:val="Normal"/>
    <w:uiPriority w:val="99"/>
    <w:rsid w:val="00CD4D21"/>
    <w:pPr>
      <w:widowControl/>
      <w:adjustRightInd w:val="0"/>
      <w:spacing w:line="288" w:lineRule="auto"/>
      <w:textAlignment w:val="center"/>
    </w:pPr>
    <w:rPr>
      <w:rFonts w:eastAsiaTheme="minorHAnsi"/>
      <w:b/>
      <w:bCs/>
      <w:color w:val="000000"/>
    </w:rPr>
  </w:style>
  <w:style w:type="paragraph" w:customStyle="1" w:styleId="txt">
    <w:name w:val="txt"/>
    <w:basedOn w:val="Normal"/>
    <w:uiPriority w:val="99"/>
    <w:rsid w:val="00CD4D21"/>
    <w:pPr>
      <w:widowControl/>
      <w:suppressAutoHyphens/>
      <w:adjustRightInd w:val="0"/>
      <w:spacing w:after="40" w:line="288" w:lineRule="auto"/>
      <w:textAlignment w:val="center"/>
    </w:pPr>
    <w:rPr>
      <w:rFonts w:ascii="Arial Narrow" w:eastAsiaTheme="minorHAnsi" w:hAnsi="Arial Narrow" w:cs="Arial Narrow"/>
      <w:b/>
      <w:bCs/>
      <w:color w:val="000000"/>
      <w:sz w:val="16"/>
      <w:szCs w:val="16"/>
    </w:rPr>
  </w:style>
  <w:style w:type="paragraph" w:customStyle="1" w:styleId="NoParagraphStyle">
    <w:name w:val="[No Paragraph Style]"/>
    <w:rsid w:val="00CD4D21"/>
    <w:pPr>
      <w:widowControl/>
      <w:adjustRightInd w:val="0"/>
      <w:spacing w:line="288" w:lineRule="auto"/>
      <w:textAlignment w:val="center"/>
    </w:pPr>
    <w:rPr>
      <w:rFonts w:ascii="Times" w:hAnsi="Times" w:cs="Times"/>
      <w:color w:val="000000"/>
      <w:sz w:val="24"/>
      <w:szCs w:val="24"/>
    </w:rPr>
  </w:style>
  <w:style w:type="paragraph" w:customStyle="1" w:styleId="HeaderCAPS">
    <w:name w:val="Header CAPS"/>
    <w:basedOn w:val="NoParagraphStyle"/>
    <w:uiPriority w:val="99"/>
    <w:rsid w:val="00CD4D21"/>
    <w:pPr>
      <w:spacing w:before="20"/>
    </w:pPr>
    <w:rPr>
      <w:rFonts w:ascii="Arial" w:hAnsi="Arial" w:cs="Arial"/>
      <w:b/>
      <w:bCs/>
      <w:caps/>
      <w:sz w:val="16"/>
      <w:szCs w:val="16"/>
    </w:rPr>
  </w:style>
  <w:style w:type="paragraph" w:customStyle="1" w:styleId="BodyCopy">
    <w:name w:val="Body Copy"/>
    <w:basedOn w:val="NoParagraphStyle"/>
    <w:uiPriority w:val="99"/>
    <w:rsid w:val="00CD4D21"/>
    <w:pPr>
      <w:tabs>
        <w:tab w:val="left" w:pos="160"/>
        <w:tab w:val="left" w:pos="320"/>
      </w:tabs>
      <w:suppressAutoHyphens/>
      <w:jc w:val="both"/>
    </w:pPr>
    <w:rPr>
      <w:rFonts w:ascii="Arial" w:hAnsi="Arial" w:cs="Arial"/>
      <w:spacing w:val="-1"/>
      <w:sz w:val="12"/>
      <w:szCs w:val="12"/>
    </w:rPr>
  </w:style>
  <w:style w:type="paragraph" w:styleId="Header">
    <w:name w:val="header"/>
    <w:basedOn w:val="NoParagraphStyle"/>
    <w:link w:val="HeaderChar"/>
    <w:uiPriority w:val="99"/>
    <w:rsid w:val="00CD4D21"/>
    <w:pPr>
      <w:spacing w:before="20"/>
    </w:pPr>
    <w:rPr>
      <w:rFonts w:ascii="Arial" w:hAnsi="Arial" w:cs="Arial"/>
      <w:b/>
      <w:bCs/>
      <w:sz w:val="11"/>
      <w:szCs w:val="11"/>
    </w:rPr>
  </w:style>
  <w:style w:type="character" w:customStyle="1" w:styleId="HeaderChar">
    <w:name w:val="Header Char"/>
    <w:basedOn w:val="DefaultParagraphFont"/>
    <w:link w:val="Header"/>
    <w:uiPriority w:val="99"/>
    <w:rsid w:val="00CD4D21"/>
    <w:rPr>
      <w:rFonts w:ascii="Arial" w:hAnsi="Arial" w:cs="Arial"/>
      <w:b/>
      <w:bCs/>
      <w:color w:val="000000"/>
      <w:sz w:val="11"/>
      <w:szCs w:val="11"/>
    </w:rPr>
  </w:style>
  <w:style w:type="paragraph" w:customStyle="1" w:styleId="HeaderCAPS-7pt">
    <w:name w:val="Header CAPS - 7pt"/>
    <w:basedOn w:val="NoParagraphStyle"/>
    <w:uiPriority w:val="99"/>
    <w:rsid w:val="00CD4D21"/>
    <w:pPr>
      <w:spacing w:before="20"/>
    </w:pPr>
    <w:rPr>
      <w:rFonts w:ascii="Arial" w:hAnsi="Arial" w:cs="Arial"/>
      <w:b/>
      <w:bCs/>
      <w:caps/>
      <w:sz w:val="14"/>
      <w:szCs w:val="14"/>
    </w:rPr>
  </w:style>
  <w:style w:type="paragraph" w:customStyle="1" w:styleId="BodyCopy-6pt">
    <w:name w:val="Body Copy - 6 pt"/>
    <w:basedOn w:val="NoParagraphStyle"/>
    <w:uiPriority w:val="99"/>
    <w:rsid w:val="00CD4D21"/>
    <w:pPr>
      <w:tabs>
        <w:tab w:val="left" w:pos="200"/>
      </w:tabs>
      <w:suppressAutoHyphens/>
      <w:jc w:val="both"/>
    </w:pPr>
    <w:rPr>
      <w:rFonts w:ascii="Arial" w:hAnsi="Arial" w:cs="Arial"/>
      <w:spacing w:val="-1"/>
      <w:sz w:val="12"/>
      <w:szCs w:val="12"/>
    </w:rPr>
  </w:style>
  <w:style w:type="paragraph" w:customStyle="1" w:styleId="Text">
    <w:name w:val="Text"/>
    <w:basedOn w:val="BodyCopy"/>
    <w:uiPriority w:val="99"/>
    <w:rsid w:val="00CD4D21"/>
  </w:style>
  <w:style w:type="character" w:customStyle="1" w:styleId="Highlight">
    <w:name w:val="Highlight"/>
    <w:uiPriority w:val="99"/>
    <w:rsid w:val="00CD4D21"/>
    <w:rPr>
      <w:rFonts w:ascii="Arial Narrow MT Std" w:hAnsi="Arial Narrow MT Std" w:cs="Arial Narrow MT Std"/>
      <w:position w:val="0"/>
      <w:sz w:val="14"/>
      <w:szCs w:val="14"/>
      <w:u w:val="thick" w:color="000000"/>
    </w:rPr>
  </w:style>
  <w:style w:type="character" w:customStyle="1" w:styleId="Text1">
    <w:name w:val="Text1"/>
    <w:uiPriority w:val="99"/>
    <w:rsid w:val="00CD4D21"/>
    <w:rPr>
      <w:rFonts w:ascii="Helvetica" w:hAnsi="Helvetica" w:cs="Helvetica"/>
      <w:color w:val="000000"/>
      <w:spacing w:val="0"/>
      <w:w w:val="100"/>
      <w:position w:val="0"/>
      <w:sz w:val="16"/>
      <w:szCs w:val="16"/>
      <w:u w:val="none"/>
      <w:vertAlign w:val="baseline"/>
    </w:rPr>
  </w:style>
  <w:style w:type="character" w:customStyle="1" w:styleId="Shading">
    <w:name w:val="Shading"/>
    <w:uiPriority w:val="99"/>
    <w:rsid w:val="002A54FA"/>
    <w:rPr>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747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7</Pages>
  <Words>3277</Words>
  <Characters>18680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2017-03-13T14:51:00Z</dcterms:created>
  <dcterms:modified xsi:type="dcterms:W3CDTF">2022-08-04T20:40:00Z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2015-04-17T00:00:00Z</vt:filetime>
  </property>
  <property fmtid="{D5CDD505-2E9C-101B-9397-08002B2CF9AE}" pid="3" name="Creator">
    <vt:lpwstr>Adobe InDesign CS6 (Macintosh)</vt:lpwstr>
  </property>
  <property fmtid="{D5CDD505-2E9C-101B-9397-08002B2CF9AE}" pid="4" name="LastSaved">
    <vt:filetime>2017-03-13T00:00:00Z</vt:filetime>
  </property>
</Properties>
</file>